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b/>
          <w:sz w:val="32"/>
          <w:szCs w:val="32"/>
          <w:lang w:eastAsia="zh-CN"/>
        </w:rPr>
      </w:pPr>
      <w:r>
        <w:rPr>
          <w:rFonts w:hint="eastAsia" w:ascii="黑体" w:hAnsi="黑体" w:eastAsia="黑体"/>
          <w:b/>
          <w:sz w:val="32"/>
          <w:szCs w:val="32"/>
          <w:lang w:eastAsia="zh-CN"/>
        </w:rPr>
        <w:t>附件</w:t>
      </w:r>
      <w:bookmarkStart w:id="0" w:name="_GoBack"/>
      <w:bookmarkEnd w:id="0"/>
    </w:p>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江苏理工学院党委2021年全面从严治党主体责任清单完成情况一览表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b/>
          <w:sz w:val="36"/>
          <w:szCs w:val="36"/>
        </w:rPr>
      </w:pPr>
    </w:p>
    <w:tbl>
      <w:tblPr>
        <w:tblStyle w:val="10"/>
        <w:tblW w:w="15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27"/>
        <w:gridCol w:w="624"/>
        <w:gridCol w:w="1193"/>
        <w:gridCol w:w="4190"/>
        <w:gridCol w:w="850"/>
        <w:gridCol w:w="1276"/>
        <w:gridCol w:w="1276"/>
        <w:gridCol w:w="992"/>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类别</w:t>
            </w:r>
          </w:p>
        </w:tc>
        <w:tc>
          <w:tcPr>
            <w:tcW w:w="927"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项目名称</w:t>
            </w:r>
          </w:p>
        </w:tc>
        <w:tc>
          <w:tcPr>
            <w:tcW w:w="624"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序号</w:t>
            </w:r>
          </w:p>
        </w:tc>
        <w:tc>
          <w:tcPr>
            <w:tcW w:w="1193"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重点任务</w:t>
            </w:r>
          </w:p>
        </w:tc>
        <w:tc>
          <w:tcPr>
            <w:tcW w:w="4190"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目标要求和工作措施</w:t>
            </w:r>
          </w:p>
        </w:tc>
        <w:tc>
          <w:tcPr>
            <w:tcW w:w="850"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牵头领导</w:t>
            </w:r>
          </w:p>
        </w:tc>
        <w:tc>
          <w:tcPr>
            <w:tcW w:w="1276"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牵头部门</w:t>
            </w:r>
          </w:p>
        </w:tc>
        <w:tc>
          <w:tcPr>
            <w:tcW w:w="1276"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责任部门</w:t>
            </w:r>
          </w:p>
        </w:tc>
        <w:tc>
          <w:tcPr>
            <w:tcW w:w="992" w:type="dxa"/>
            <w:vAlign w:val="center"/>
          </w:tcPr>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完成</w:t>
            </w:r>
          </w:p>
          <w:p>
            <w:pPr>
              <w:spacing w:line="300" w:lineRule="exact"/>
              <w:jc w:val="center"/>
              <w:rPr>
                <w:rFonts w:ascii="Times New Roman" w:hAnsi="Times New Roman" w:eastAsia="黑体"/>
                <w:b/>
                <w:kern w:val="0"/>
                <w:sz w:val="24"/>
                <w:szCs w:val="24"/>
              </w:rPr>
            </w:pPr>
            <w:r>
              <w:rPr>
                <w:rFonts w:ascii="Times New Roman" w:hAnsi="Times New Roman" w:eastAsia="黑体"/>
                <w:b/>
                <w:kern w:val="0"/>
                <w:sz w:val="24"/>
                <w:szCs w:val="24"/>
              </w:rPr>
              <w:t>时限</w:t>
            </w:r>
          </w:p>
        </w:tc>
        <w:tc>
          <w:tcPr>
            <w:tcW w:w="3771" w:type="dxa"/>
          </w:tcPr>
          <w:p>
            <w:pPr>
              <w:spacing w:line="300" w:lineRule="exact"/>
              <w:jc w:val="center"/>
              <w:rPr>
                <w:rFonts w:ascii="Times New Roman" w:hAnsi="Times New Roman" w:eastAsia="黑体"/>
                <w:b/>
                <w:kern w:val="0"/>
                <w:sz w:val="24"/>
                <w:szCs w:val="24"/>
              </w:rPr>
            </w:pPr>
            <w:r>
              <w:rPr>
                <w:rFonts w:hint="eastAsia" w:ascii="Times New Roman" w:hAnsi="Times New Roman" w:eastAsia="黑体"/>
                <w:b/>
                <w:kern w:val="0"/>
                <w:sz w:val="24"/>
                <w:szCs w:val="24"/>
              </w:rPr>
              <w:t>完成</w:t>
            </w:r>
            <w:r>
              <w:rPr>
                <w:rFonts w:ascii="Times New Roman" w:hAnsi="Times New Roman" w:eastAsia="黑体"/>
                <w:b/>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69" w:type="dxa"/>
            <w:vMerge w:val="restart"/>
            <w:vAlign w:val="center"/>
          </w:tcPr>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both"/>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集体</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（一）加强组织领导</w:t>
            </w: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w:t>
            </w:r>
          </w:p>
        </w:tc>
        <w:tc>
          <w:tcPr>
            <w:tcW w:w="1193" w:type="dxa"/>
            <w:vMerge w:val="restart"/>
            <w:vAlign w:val="center"/>
          </w:tcPr>
          <w:p>
            <w:pPr>
              <w:spacing w:line="300" w:lineRule="exact"/>
              <w:rPr>
                <w:rFonts w:ascii="Times New Roman" w:hAnsi="Times New Roman"/>
                <w:kern w:val="0"/>
                <w:szCs w:val="21"/>
              </w:rPr>
            </w:pPr>
            <w:r>
              <w:rPr>
                <w:rFonts w:ascii="Times New Roman" w:hAnsi="Times New Roman"/>
                <w:kern w:val="0"/>
                <w:szCs w:val="21"/>
              </w:rPr>
              <w:t>当好领导者、执行者、推动者</w:t>
            </w: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坚决贯彻执行中央和省委关于全面从严治党决策部署，构建全面从严治党主体责任体系，党委每半年召开1次常委会会议，专题研究全面从严治党工作，分析研判全面从严治党形势，提出加强和改进工作措施。</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left"/>
              <w:rPr>
                <w:rFonts w:ascii="Times New Roman" w:hAnsi="Times New Roman"/>
                <w:color w:val="FF0000"/>
                <w:kern w:val="0"/>
                <w:szCs w:val="21"/>
              </w:rPr>
            </w:pPr>
            <w:r>
              <w:rPr>
                <w:rFonts w:hint="eastAsia" w:ascii="Times New Roman" w:hAnsi="Times New Roman"/>
                <w:color w:val="FF0000"/>
                <w:kern w:val="0"/>
                <w:szCs w:val="21"/>
              </w:rPr>
              <w:t>例</w:t>
            </w:r>
            <w:r>
              <w:rPr>
                <w:rFonts w:ascii="Times New Roman" w:hAnsi="Times New Roman"/>
                <w:color w:val="FF0000"/>
                <w:kern w:val="0"/>
                <w:szCs w:val="21"/>
              </w:rPr>
              <w:t>：</w:t>
            </w:r>
            <w:r>
              <w:rPr>
                <w:rFonts w:hint="eastAsia" w:ascii="Times New Roman" w:hAnsi="Times New Roman"/>
                <w:color w:val="FF0000"/>
                <w:kern w:val="0"/>
                <w:szCs w:val="21"/>
              </w:rPr>
              <w:t>1.</w:t>
            </w:r>
            <w:r>
              <w:rPr>
                <w:rFonts w:hint="eastAsia"/>
              </w:rPr>
              <w:t xml:space="preserve"> </w:t>
            </w:r>
            <w:r>
              <w:rPr>
                <w:rFonts w:hint="eastAsia" w:ascii="Times New Roman" w:hAnsi="Times New Roman"/>
                <w:color w:val="FF0000"/>
                <w:kern w:val="0"/>
                <w:szCs w:val="21"/>
              </w:rPr>
              <w:t>校党委</w:t>
            </w:r>
            <w:r>
              <w:rPr>
                <w:rFonts w:ascii="Times New Roman" w:hAnsi="Times New Roman"/>
                <w:color w:val="FF0000"/>
                <w:kern w:val="0"/>
                <w:szCs w:val="21"/>
              </w:rPr>
              <w:t>于3月12日、4月22日分别召开党委常委会专题分析全面从严治党形势，研究部署全面从严治党工作。</w:t>
            </w:r>
          </w:p>
          <w:p>
            <w:pPr>
              <w:spacing w:line="300" w:lineRule="exact"/>
              <w:jc w:val="left"/>
              <w:rPr>
                <w:rFonts w:ascii="Times New Roman" w:hAnsi="Times New Roman"/>
                <w:color w:val="FF0000"/>
                <w:kern w:val="0"/>
                <w:szCs w:val="21"/>
              </w:rPr>
            </w:pPr>
            <w:r>
              <w:rPr>
                <w:rFonts w:hint="eastAsia" w:ascii="Times New Roman" w:hAnsi="Times New Roman"/>
                <w:color w:val="FF0000"/>
                <w:kern w:val="0"/>
                <w:szCs w:val="21"/>
              </w:rPr>
              <w:t>2.拟于12月份召开</w:t>
            </w:r>
            <w:r>
              <w:rPr>
                <w:rFonts w:ascii="Times New Roman" w:hAnsi="Times New Roman"/>
                <w:color w:val="FF0000"/>
                <w:kern w:val="0"/>
                <w:szCs w:val="21"/>
              </w:rPr>
              <w:t>党委常委会专题研究全面从严治党工作。</w:t>
            </w:r>
            <w:r>
              <w:rPr>
                <w:rFonts w:hint="eastAsia" w:ascii="Times New Roman" w:hAnsi="Times New Roman"/>
                <w:b/>
                <w:color w:val="FF0000"/>
                <w:kern w:val="0"/>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9" w:type="dxa"/>
            <w:vMerge w:val="continue"/>
            <w:vAlign w:val="center"/>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color w:val="FF0000"/>
                <w:kern w:val="0"/>
                <w:szCs w:val="21"/>
              </w:rPr>
            </w:pPr>
          </w:p>
        </w:tc>
        <w:tc>
          <w:tcPr>
            <w:tcW w:w="1193" w:type="dxa"/>
            <w:vMerge w:val="continue"/>
            <w:vAlign w:val="center"/>
          </w:tcPr>
          <w:p>
            <w:pPr>
              <w:spacing w:line="300" w:lineRule="exact"/>
              <w:rPr>
                <w:rFonts w:ascii="Times New Roman" w:hAnsi="Times New Roman"/>
                <w:color w:val="FF0000"/>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（2）召开年度全面从严治党工作会议，部署工作任务、签订责任书，压实管党治党责任。</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2021.03</w:t>
            </w:r>
          </w:p>
        </w:tc>
        <w:tc>
          <w:tcPr>
            <w:tcW w:w="3771" w:type="dxa"/>
          </w:tcPr>
          <w:p>
            <w:pPr>
              <w:spacing w:line="300" w:lineRule="exact"/>
              <w:jc w:val="left"/>
              <w:rPr>
                <w:rFonts w:ascii="Times New Roman" w:hAnsi="Times New Roman"/>
                <w:color w:val="FF0000"/>
                <w:kern w:val="0"/>
                <w:szCs w:val="21"/>
              </w:rPr>
            </w:pPr>
            <w:r>
              <w:rPr>
                <w:rFonts w:ascii="Times New Roman" w:hAnsi="Times New Roman"/>
                <w:color w:val="FF0000"/>
                <w:kern w:val="0"/>
                <w:szCs w:val="21"/>
              </w:rPr>
              <w:t>3月19日召开2021年全面从严治党工作会议，</w:t>
            </w:r>
            <w:r>
              <w:rPr>
                <w:rFonts w:hint="eastAsia" w:ascii="Times New Roman" w:hAnsi="Times New Roman"/>
                <w:color w:val="FF0000"/>
                <w:kern w:val="0"/>
                <w:szCs w:val="21"/>
              </w:rPr>
              <w:t>校</w:t>
            </w:r>
            <w:r>
              <w:rPr>
                <w:rFonts w:ascii="Times New Roman" w:hAnsi="Times New Roman"/>
                <w:color w:val="FF0000"/>
                <w:kern w:val="0"/>
                <w:szCs w:val="21"/>
              </w:rPr>
              <w:t>党委书记与校领导班子其他成员签订《全面从严治党责任书》，全体校领导与分管部门、联系单位签订《全面从严治党责任书》，层层压实工作责任。同时，推进全面从严治党向基层延伸，各基层党组织内部签订全面从严治党责任书。</w:t>
            </w:r>
            <w:r>
              <w:rPr>
                <w:rFonts w:hint="eastAsia" w:ascii="Times New Roman" w:hAnsi="Times New Roman"/>
                <w:b/>
                <w:color w:val="FF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vAlign w:val="center"/>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color w:val="FF0000"/>
                <w:kern w:val="0"/>
                <w:szCs w:val="21"/>
              </w:rPr>
            </w:pPr>
          </w:p>
        </w:tc>
        <w:tc>
          <w:tcPr>
            <w:tcW w:w="1193" w:type="dxa"/>
            <w:vMerge w:val="continue"/>
            <w:vAlign w:val="center"/>
          </w:tcPr>
          <w:p>
            <w:pPr>
              <w:spacing w:line="300" w:lineRule="exact"/>
              <w:rPr>
                <w:rFonts w:ascii="Times New Roman" w:hAnsi="Times New Roman"/>
                <w:color w:val="FF0000"/>
                <w:kern w:val="0"/>
                <w:szCs w:val="21"/>
              </w:rPr>
            </w:pPr>
          </w:p>
        </w:tc>
        <w:tc>
          <w:tcPr>
            <w:tcW w:w="4190" w:type="dxa"/>
            <w:vAlign w:val="center"/>
          </w:tcPr>
          <w:p>
            <w:pPr>
              <w:pStyle w:val="22"/>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（3）研究制定全面从严治党主体责任清单、目标要求和具体举措。</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2021.04</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（4）切实做好党委履责记实工作，及时、准确上报履行主体责任情况。</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（5）指导、督促、检查各二级基层党组织履行全面从严治党主体责任，推动全面从严治党向基层延伸。</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（二）加强党的政治建设</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2</w:t>
            </w:r>
          </w:p>
        </w:tc>
        <w:tc>
          <w:tcPr>
            <w:tcW w:w="1193" w:type="dxa"/>
            <w:vAlign w:val="center"/>
          </w:tcPr>
          <w:p>
            <w:pPr>
              <w:spacing w:line="300" w:lineRule="exact"/>
              <w:jc w:val="left"/>
              <w:rPr>
                <w:rFonts w:ascii="Times New Roman" w:hAnsi="Times New Roman"/>
                <w:kern w:val="0"/>
                <w:szCs w:val="21"/>
                <w:highlight w:val="yellow"/>
              </w:rPr>
            </w:pPr>
            <w:r>
              <w:rPr>
                <w:rFonts w:ascii="Times New Roman" w:hAnsi="Times New Roman"/>
                <w:kern w:val="0"/>
                <w:szCs w:val="21"/>
              </w:rPr>
              <w:t>把党的政治建设摆在首位</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深入贯彻《中共中央关于加强党的政治建设的意见》以及省委《实施方案》、教育部党组等四部门《关于加强高校党的政治建设的若干措施》、省委组织部省委教育工委《关于加强省属高校领导班子政治建设的若干措施》，严格执行学校落实措施和工作清单。</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党委工作部门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3</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严肃政治纪律和政治生活</w:t>
            </w: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（1）严格执行《新形势下党内政治生活若干准则》，落实民主生活会、组织生活会“十不准”规定，营造校园风清气正的干事创业环境和良好政治生态。</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（2）坚持党委领导下的校长负责制，落实“三重一大”事项集体决策制度，严格执行各项议事规则。</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崔景贵</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（三）加强党的思想建设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（三）加强党的思想建设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（三）加强党的思想建设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（三）加强党的思想建设</w:t>
            </w:r>
          </w:p>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4</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学懂弄通做实习近平新时代中国特色社会主义思想</w:t>
            </w: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ascii="Times New Roman" w:hAnsi="Times New Roman" w:eastAsia="宋体" w:cs="Times New Roman"/>
                <w:szCs w:val="21"/>
              </w:rPr>
              <w:t>把学习贯彻习近平新时代中国特色社会主义思想作为首要任务，拓展研究平台，开展习近平新时代中国特色社会主义思想的研究阐释。</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汤建石</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党委宣传部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社会科学处</w:t>
            </w:r>
          </w:p>
          <w:p>
            <w:pPr>
              <w:spacing w:line="300" w:lineRule="exact"/>
              <w:jc w:val="center"/>
              <w:rPr>
                <w:rFonts w:ascii="Times New Roman" w:hAnsi="Times New Roman"/>
                <w:kern w:val="0"/>
                <w:szCs w:val="21"/>
              </w:rPr>
            </w:pPr>
            <w:r>
              <w:rPr>
                <w:rFonts w:ascii="Times New Roman" w:hAnsi="Times New Roman"/>
                <w:kern w:val="0"/>
                <w:szCs w:val="21"/>
              </w:rPr>
              <w:t>马克思主义学院</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ascii="Times New Roman" w:hAnsi="Times New Roman" w:eastAsia="宋体" w:cs="Times New Roman"/>
                <w:szCs w:val="21"/>
              </w:rPr>
              <w:t>严格党委理论学习中心组学习制度，规范学习流程。坚持集体研讨为主，自学、专题报告等为辅，全年开展集体学习研讨不少于6次，中心组成员每年至少重点发言1次以上。</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ascii="Times New Roman" w:hAnsi="Times New Roman" w:eastAsia="宋体" w:cs="Times New Roman"/>
                <w:szCs w:val="21"/>
              </w:rPr>
              <w:t>“学习强国”学习平台覆盖率达100%，日活率达到90%。</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ascii="Times New Roman" w:hAnsi="Times New Roman" w:eastAsia="宋体" w:cs="Times New Roman"/>
                <w:szCs w:val="21"/>
              </w:rPr>
              <w:t>组织开展教职工政治理论学习。</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5</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5</w:t>
            </w:r>
          </w:p>
        </w:tc>
        <w:tc>
          <w:tcPr>
            <w:tcW w:w="1193" w:type="dxa"/>
            <w:vMerge w:val="restart"/>
            <w:vAlign w:val="center"/>
          </w:tcPr>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r>
              <w:rPr>
                <w:rFonts w:ascii="Times New Roman" w:hAnsi="Times New Roman"/>
                <w:kern w:val="0"/>
                <w:szCs w:val="21"/>
              </w:rPr>
              <w:t>深入开展党史学习教育</w:t>
            </w: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r>
              <w:rPr>
                <w:rFonts w:ascii="Times New Roman" w:hAnsi="Times New Roman"/>
                <w:kern w:val="0"/>
                <w:szCs w:val="21"/>
              </w:rPr>
              <w:t>深入开展党史学习教育</w:t>
            </w: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ascii="Times New Roman" w:hAnsi="Times New Roman" w:eastAsia="宋体" w:cs="Times New Roman"/>
                <w:szCs w:val="21"/>
              </w:rPr>
              <w:t>开展专题学习。以理论学习、中心组学习、读书班等形式，开展党史专题学习交流研讨，累计时间不少于一周。结合开学、毕业等重要时间节点，组织师生共上“党史大课”。在“学习强国”学习平台、江苏先锋、智慧党建等平台开展网络学习，确保每名党员干部全年网上专题学习不少于10学时。</w:t>
            </w:r>
          </w:p>
        </w:tc>
        <w:tc>
          <w:tcPr>
            <w:tcW w:w="850"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汤建石</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 xml:space="preserve">汤建石  </w:t>
            </w:r>
          </w:p>
        </w:tc>
        <w:tc>
          <w:tcPr>
            <w:tcW w:w="1276"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党委宣传部</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党委宣传部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ascii="Times New Roman" w:hAnsi="Times New Roman" w:eastAsia="宋体" w:cs="Times New Roman"/>
                <w:szCs w:val="21"/>
              </w:rPr>
              <w:t>开展专题宣讲。组建校内宣讲团，有计划组织赴二级党组织开展集中宣讲。4-6月，围绕百年党史进行专题宣讲；7月之后，围绕学习习近平总书记“七一”重要讲话精神进行专题宣讲。</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马克思主义学院</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ascii="Times New Roman" w:hAnsi="Times New Roman" w:eastAsia="宋体" w:cs="Times New Roman"/>
                <w:szCs w:val="21"/>
              </w:rPr>
              <w:t>开展专题党课。“七一”前后，处级以上党组织书记在深入学习调研、广泛征求意见基础上讲一次党课，紧密联系实际，讲好学习收获、认识感悟，讲好信仰信念、忠诚担当，讲好开新局、谱新篇的思路举措。</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2021.07</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ascii="Times New Roman" w:hAnsi="Times New Roman" w:eastAsia="宋体" w:cs="Times New Roman"/>
                <w:szCs w:val="21"/>
              </w:rPr>
              <w:t>开展专题调研。深入学习贯彻习近平总书记视察江苏重要讲话指示精神，结合学校重点工作，把学习党史与专题调研活动结合起来，深入基层、深入师生，扎实开展调查研究，撰写调研报告，深化学习教育成效。</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numPr>
                <w:numId w:val="0"/>
              </w:num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ascii="Times New Roman" w:hAnsi="Times New Roman" w:eastAsia="宋体" w:cs="Times New Roman"/>
                <w:szCs w:val="21"/>
              </w:rPr>
              <w:t>深入开展“我为师生办实事”活动。把党史学习教育同解决实际问题结合起来，紧紧围绕立德树人根本任务、促进学校改革发展稳定、解决涉及师生切身利益的急难愁盼问题，分类制定实践活动方案，扎实开展“我为师生办实事”实践活动。</w:t>
            </w:r>
          </w:p>
          <w:p>
            <w:pPr>
              <w:numPr>
                <w:numId w:val="0"/>
              </w:numPr>
              <w:spacing w:line="300" w:lineRule="exact"/>
              <w:rPr>
                <w:rFonts w:ascii="Times New Roman" w:hAnsi="Times New Roman" w:eastAsia="宋体" w:cs="Times New Roman"/>
                <w:szCs w:val="21"/>
              </w:rPr>
            </w:pP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lang w:eastAsia="zh-CN"/>
              </w:rPr>
              <w:t>）</w:t>
            </w:r>
            <w:r>
              <w:rPr>
                <w:rFonts w:ascii="Times New Roman" w:hAnsi="Times New Roman" w:eastAsia="宋体" w:cs="Times New Roman"/>
                <w:szCs w:val="21"/>
              </w:rPr>
              <w:t>召开校党委领导班子专题民主生活会。对标对表习近平总书记在党史学习教育动员大会上的重要讲话和庆祝中国共产党成立100周年大会上的重要讲话精神，充分运用学习教育成果，深入检视反思存在问题，严肃认真开展批评与自我批评，明确整改措施和努力方向。</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2021.07</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lang w:eastAsia="zh-CN"/>
              </w:rPr>
              <w:t>）</w:t>
            </w:r>
            <w:r>
              <w:rPr>
                <w:rFonts w:ascii="Times New Roman" w:hAnsi="Times New Roman" w:eastAsia="宋体" w:cs="Times New Roman"/>
                <w:szCs w:val="21"/>
              </w:rPr>
              <w:t>参与组织生活会，开展党性分析，交流学习体会。严格执行双重组织生活会制度，以普通党员身份参加所在支部的组织生活，一起学习讨论、一起交流心得、一起接受思想教育，确保取得扎实成效。</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2021.07</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lang w:eastAsia="zh-CN"/>
              </w:rPr>
              <w:t>）</w:t>
            </w:r>
            <w:r>
              <w:rPr>
                <w:rFonts w:ascii="Times New Roman" w:hAnsi="Times New Roman" w:eastAsia="宋体" w:cs="Times New Roman"/>
                <w:szCs w:val="21"/>
              </w:rPr>
              <w:t>组织收看庆祝中国共产党成立100周年大会直播，参观“中国共产党在江苏”大型主题展览，观看庆祝中国共产党成立100周年文艺演出。举办庆祝中国共产党成立100周年“职师之声”文艺汇演等庆祝活动。</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p>
          <w:p>
            <w:pPr>
              <w:spacing w:line="300" w:lineRule="exact"/>
              <w:jc w:val="both"/>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6</w:t>
            </w:r>
          </w:p>
        </w:tc>
        <w:tc>
          <w:tcPr>
            <w:tcW w:w="1193" w:type="dxa"/>
            <w:vMerge w:val="restart"/>
            <w:vAlign w:val="center"/>
          </w:tcPr>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r>
              <w:rPr>
                <w:rFonts w:ascii="Times New Roman" w:hAnsi="Times New Roman"/>
                <w:kern w:val="0"/>
                <w:szCs w:val="21"/>
              </w:rPr>
              <w:t>加强思想政治工作和舆论引导</w:t>
            </w: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ascii="Times New Roman" w:hAnsi="Times New Roman" w:eastAsia="宋体" w:cs="Times New Roman"/>
                <w:szCs w:val="21"/>
              </w:rPr>
              <w:t>党委常委会每学期至少召开1次会议专题研究思想政治工作。</w:t>
            </w:r>
          </w:p>
        </w:tc>
        <w:tc>
          <w:tcPr>
            <w:tcW w:w="850"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汤建石</w:t>
            </w:r>
          </w:p>
        </w:tc>
        <w:tc>
          <w:tcPr>
            <w:tcW w:w="1276"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党委宣传部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ascii="Times New Roman" w:hAnsi="Times New Roman" w:eastAsia="宋体" w:cs="Times New Roman"/>
                <w:szCs w:val="21"/>
              </w:rPr>
              <w:t>校党委书记、校长每学期至少给学生讲授4个课时思政课，校领导班子其他成员每学期至少给学生讲授2个课时思政课。</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马克思主义学院</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ascii="Times New Roman" w:hAnsi="Times New Roman" w:eastAsia="宋体" w:cs="Times New Roman"/>
                <w:szCs w:val="21"/>
              </w:rPr>
              <w:t>推进“马工程”教材使用全覆盖。</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教务处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ascii="Times New Roman" w:hAnsi="Times New Roman" w:eastAsia="宋体" w:cs="Times New Roman"/>
                <w:szCs w:val="21"/>
              </w:rPr>
              <w:t>配齐建强思政课教师队伍和辅导员队伍。思政课专任教师和学生比例不低于1:400。按照师生比1:200的要求，2021年底前专职辅导员配备到位。按照师生比不低于1:4000、至少配备2名的标准配齐配强专职心理健康教育教师，鼓励高校辅导员扩充兼职心理健康教育教师队伍。2021年度专职辅导员岗位聘用人员列事业编制（人员总量）比例达到75%。</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人事处</w:t>
            </w:r>
          </w:p>
          <w:p>
            <w:pPr>
              <w:spacing w:line="300" w:lineRule="exact"/>
              <w:jc w:val="center"/>
              <w:rPr>
                <w:rFonts w:ascii="Times New Roman" w:hAnsi="Times New Roman"/>
                <w:kern w:val="0"/>
                <w:szCs w:val="21"/>
              </w:rPr>
            </w:pPr>
            <w:r>
              <w:rPr>
                <w:rFonts w:ascii="Times New Roman" w:hAnsi="Times New Roman"/>
                <w:kern w:val="0"/>
                <w:szCs w:val="21"/>
              </w:rPr>
              <w:t>党委学生工作部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ascii="Times New Roman" w:hAnsi="Times New Roman" w:eastAsia="宋体" w:cs="Times New Roman"/>
                <w:szCs w:val="21"/>
              </w:rPr>
              <w:t>及时组织主题宣传、形势宣传、成就宣传和典型宣传，配合做好各类主题采访活动，提升学校影响力。</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7</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7</w:t>
            </w:r>
          </w:p>
        </w:tc>
        <w:tc>
          <w:tcPr>
            <w:tcW w:w="1193" w:type="dxa"/>
            <w:vMerge w:val="restart"/>
            <w:vAlign w:val="center"/>
          </w:tcPr>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r>
              <w:rPr>
                <w:rFonts w:ascii="Times New Roman" w:hAnsi="Times New Roman"/>
                <w:kern w:val="0"/>
                <w:szCs w:val="21"/>
              </w:rPr>
              <w:t>落实意识形态工作责任制</w:t>
            </w: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p>
          <w:p>
            <w:pPr>
              <w:spacing w:line="300" w:lineRule="exact"/>
              <w:jc w:val="left"/>
              <w:rPr>
                <w:rFonts w:ascii="Times New Roman" w:hAnsi="Times New Roman"/>
                <w:kern w:val="0"/>
                <w:szCs w:val="21"/>
              </w:rPr>
            </w:pPr>
            <w:r>
              <w:rPr>
                <w:rFonts w:ascii="Times New Roman" w:hAnsi="Times New Roman"/>
                <w:kern w:val="0"/>
                <w:szCs w:val="21"/>
              </w:rPr>
              <w:t>落实意识形态工作责任制</w:t>
            </w: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ascii="Times New Roman" w:hAnsi="Times New Roman" w:eastAsia="宋体" w:cs="Times New Roman"/>
                <w:szCs w:val="21"/>
              </w:rPr>
              <w:t>把意识形态工作纳入重要议事日程，纳入党建工作责任制，纳入领导班子、领导干部目标管理，一同部署、一同落实、一同检查、一同考核。</w:t>
            </w:r>
          </w:p>
        </w:tc>
        <w:tc>
          <w:tcPr>
            <w:tcW w:w="850"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汤建石</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汤建石</w:t>
            </w:r>
          </w:p>
        </w:tc>
        <w:tc>
          <w:tcPr>
            <w:tcW w:w="1276"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党委宣传部</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党委宣传部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ascii="Times New Roman" w:hAnsi="Times New Roman" w:eastAsia="宋体" w:cs="Times New Roman"/>
                <w:szCs w:val="21"/>
              </w:rPr>
              <w:t>校党委常委会每半年研究意识形态工作1次，校党委常委会把意识形态工作作为向全委会报告工作的重要内容，校党委领导班子成员把意识形态工作作为民主生活会和述职报告的重要内容，接受监督和评议。</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CN"/>
              </w:rPr>
              <w:t>）</w:t>
            </w:r>
            <w:r>
              <w:rPr>
                <w:rFonts w:ascii="Times New Roman" w:hAnsi="Times New Roman" w:eastAsia="宋体" w:cs="Times New Roman"/>
                <w:szCs w:val="21"/>
              </w:rPr>
              <w:t>与各基层党组织签订年度意识形态工作责任书，强化意识形态工作监督检查和追责问责。</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lang w:eastAsia="zh-CN"/>
              </w:rPr>
              <w:t>）</w:t>
            </w:r>
            <w:r>
              <w:rPr>
                <w:rFonts w:ascii="Times New Roman" w:hAnsi="Times New Roman" w:eastAsia="宋体" w:cs="Times New Roman"/>
                <w:szCs w:val="21"/>
              </w:rPr>
              <w:t>落实网络意识形态工作责任制，制定落实网络意识形态工作责任制实施细则的相关文件。</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信息中心</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lang w:eastAsia="zh-CN"/>
              </w:rPr>
              <w:t>）</w:t>
            </w:r>
            <w:r>
              <w:rPr>
                <w:rFonts w:ascii="Times New Roman" w:hAnsi="Times New Roman" w:eastAsia="宋体" w:cs="Times New Roman"/>
                <w:szCs w:val="21"/>
              </w:rPr>
              <w:t>落实意识形态分析研判制度。每季度至少召开1次意识形态工作联席会议，开展分析研判，并将结果形成书面报告，上报省委教育工委。</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意识形态工作联席</w:t>
            </w:r>
          </w:p>
          <w:p>
            <w:pPr>
              <w:spacing w:line="300" w:lineRule="exact"/>
              <w:jc w:val="center"/>
              <w:rPr>
                <w:rFonts w:ascii="Times New Roman" w:hAnsi="Times New Roman"/>
                <w:kern w:val="0"/>
                <w:szCs w:val="21"/>
              </w:rPr>
            </w:pPr>
            <w:r>
              <w:rPr>
                <w:rFonts w:ascii="Times New Roman" w:hAnsi="Times New Roman"/>
                <w:kern w:val="0"/>
                <w:szCs w:val="21"/>
              </w:rPr>
              <w:t>会成员单位</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lang w:eastAsia="zh-CN"/>
              </w:rPr>
              <w:t>）</w:t>
            </w:r>
            <w:r>
              <w:rPr>
                <w:rFonts w:ascii="Times New Roman" w:hAnsi="Times New Roman" w:eastAsia="宋体" w:cs="Times New Roman"/>
                <w:szCs w:val="21"/>
              </w:rPr>
              <w:t>加强阵地管控。严格哲学社会科学报告会、研讨会、讲座、论坛等审批，并严格落实全程跟听管理制度。加强网络平台活动的审批。对于未审批就开展的论坛讲座、悬挂横幅等问题，进行追溯、责任倒查。</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lang w:eastAsia="zh-CN"/>
              </w:rPr>
              <w:t>）</w:t>
            </w:r>
            <w:r>
              <w:rPr>
                <w:rFonts w:ascii="Times New Roman" w:hAnsi="Times New Roman" w:eastAsia="宋体" w:cs="Times New Roman"/>
                <w:szCs w:val="21"/>
              </w:rPr>
              <w:t>制定并落实意识形态安全专项工作方案。</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意识形态安全专项</w:t>
            </w:r>
          </w:p>
          <w:p>
            <w:pPr>
              <w:spacing w:line="300" w:lineRule="exact"/>
              <w:jc w:val="center"/>
              <w:rPr>
                <w:rFonts w:ascii="Times New Roman" w:hAnsi="Times New Roman"/>
                <w:kern w:val="0"/>
                <w:szCs w:val="21"/>
              </w:rPr>
            </w:pPr>
            <w:r>
              <w:rPr>
                <w:rFonts w:ascii="Times New Roman" w:hAnsi="Times New Roman"/>
                <w:kern w:val="0"/>
                <w:szCs w:val="21"/>
              </w:rPr>
              <w:t>领导小组办公室成员</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lang w:eastAsia="zh-CN"/>
              </w:rPr>
              <w:t>）</w:t>
            </w:r>
            <w:r>
              <w:rPr>
                <w:rFonts w:ascii="Times New Roman" w:hAnsi="Times New Roman" w:eastAsia="宋体" w:cs="Times New Roman"/>
                <w:szCs w:val="21"/>
              </w:rPr>
              <w:t>落实《江苏理工学院舆情引导处置应对处置办法（试行）》，加强舆情监测、引导、处置。</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lang w:eastAsia="zh-CN"/>
              </w:rPr>
              <w:t>）</w:t>
            </w:r>
            <w:r>
              <w:rPr>
                <w:rFonts w:ascii="Times New Roman" w:hAnsi="Times New Roman" w:eastAsia="宋体" w:cs="Times New Roman"/>
                <w:szCs w:val="21"/>
              </w:rPr>
              <w:t>抵御和防范校园传教，开展师生信仰宗教排查，加强信教师生管理。</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党委统战部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lang w:eastAsia="zh-CN"/>
              </w:rPr>
              <w:t>）</w:t>
            </w:r>
            <w:r>
              <w:rPr>
                <w:rFonts w:ascii="Times New Roman" w:hAnsi="Times New Roman" w:eastAsia="宋体" w:cs="Times New Roman"/>
                <w:szCs w:val="21"/>
              </w:rPr>
              <w:t>健全工作机制，加强涉外项目管理。加强对国际会议及涉外相关人员报告会、讲座、论坛等管理。</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国际合作与交流处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（四）加强干部人才队伍建设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（四）加强干部人才队伍建设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（四）加强干部人才队伍建设</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8</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贯彻新时期好干部标准，深入运用“五突出五强化”选人用人机制</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认真贯彻落实《党政领导干部选拔任用条例》，修订《江苏理工学院处级干部选拔任用工作规定（试行）》，深入运用“五突出五强化”选人用人机制，严格落实“凡提四必”，坚持正确用人导向。</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9</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提高干部能力，推动履职尽责。</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贯彻落实学校干部培训规划，科学制定2021年干部培训计划与内容，提升干部的政治素养、治理能力与专业能力，推动履职尽责。</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10</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坚持严管与厚爱相结合，深化落实“三项机制”</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坚持严管与厚爱相结合、激励和约束相并重，贯彻落实《中共江苏理工学院委员会贯彻落实“三项机制”实施方案》，调动广大干部干事创业的积极性主动性创造性。</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11</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坚持党管人才，健全“五坚持五提升”人才工作体系</w:t>
            </w:r>
          </w:p>
        </w:tc>
        <w:tc>
          <w:tcPr>
            <w:tcW w:w="4190" w:type="dxa"/>
            <w:vAlign w:val="center"/>
          </w:tcPr>
          <w:p>
            <w:pPr>
              <w:rPr>
                <w:rFonts w:ascii="Times New Roman" w:hAnsi="Times New Roman" w:eastAsia="宋体" w:cs="Times New Roman"/>
                <w:szCs w:val="21"/>
              </w:rPr>
            </w:pPr>
            <w:r>
              <w:rPr>
                <w:rFonts w:ascii="Times New Roman" w:hAnsi="Times New Roman" w:eastAsia="宋体" w:cs="Times New Roman"/>
                <w:szCs w:val="21"/>
              </w:rPr>
              <w:t>（1）做好人才发展规划。牢固确立“人才是第一资源”思想，持续推动人才强校战略落地落实，着眼学校事业长远发展，科学制定“十四五”师资队伍建设发展规划，组织召开2021年度人才工作专题推进会。</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崔景贵</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党委教师工作部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r>
              <w:rPr>
                <w:rFonts w:ascii="Times New Roman" w:hAnsi="Times New Roman"/>
                <w:kern w:val="0"/>
                <w:szCs w:val="21"/>
              </w:rPr>
              <w:t>院长办公室</w:t>
            </w:r>
          </w:p>
          <w:p>
            <w:pPr>
              <w:spacing w:line="300" w:lineRule="exact"/>
              <w:jc w:val="center"/>
              <w:rPr>
                <w:rFonts w:ascii="Times New Roman" w:hAnsi="Times New Roman"/>
                <w:kern w:val="0"/>
                <w:szCs w:val="21"/>
              </w:rPr>
            </w:pPr>
            <w:r>
              <w:rPr>
                <w:rFonts w:ascii="Times New Roman" w:hAnsi="Times New Roman"/>
                <w:kern w:val="0"/>
                <w:szCs w:val="21"/>
              </w:rPr>
              <w:t>发展规划处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2</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rPr>
              <w:t>改革人才引育模式。落实青年人才培养集聚专项行动，大力加强引才力度，持续加大骨干教师研修力度，启动优秀创新人才资助计划，有序有重点培育孵化一支由中青年学术骨干组成、能够跟踪国内外学科发展前延、在国家和省相关学科领域起骨干作用的人才梯队。建立健全政府主导、行业企业和院校深度融合的双师型教师队伍建设机制，深入推进校城融合产教才一体化发展。</w:t>
            </w:r>
          </w:p>
        </w:tc>
        <w:tc>
          <w:tcPr>
            <w:tcW w:w="850"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szCs w:val="21"/>
              </w:rPr>
              <w:t>各二级基层党组织</w:t>
            </w:r>
          </w:p>
          <w:p>
            <w:pPr>
              <w:spacing w:line="300" w:lineRule="exact"/>
              <w:jc w:val="center"/>
              <w:rPr>
                <w:rFonts w:ascii="Times New Roman" w:hAnsi="Times New Roman"/>
                <w:kern w:val="0"/>
                <w:szCs w:val="21"/>
              </w:rPr>
            </w:pPr>
            <w:r>
              <w:rPr>
                <w:rFonts w:ascii="Times New Roman" w:hAnsi="Times New Roman"/>
                <w:szCs w:val="21"/>
              </w:rPr>
              <w:t>校城融合工作办公室</w:t>
            </w:r>
          </w:p>
          <w:p>
            <w:pPr>
              <w:spacing w:line="300" w:lineRule="exact"/>
              <w:jc w:val="center"/>
              <w:rPr>
                <w:rFonts w:ascii="Times New Roman" w:hAnsi="Times New Roman"/>
                <w:kern w:val="0"/>
                <w:szCs w:val="21"/>
              </w:rPr>
            </w:pPr>
            <w:r>
              <w:rPr>
                <w:rFonts w:ascii="Times New Roman" w:hAnsi="Times New Roman"/>
                <w:szCs w:val="21"/>
              </w:rPr>
              <w:t>教师发展中心</w:t>
            </w:r>
          </w:p>
          <w:p>
            <w:pPr>
              <w:spacing w:line="300" w:lineRule="exact"/>
              <w:jc w:val="center"/>
              <w:rPr>
                <w:rFonts w:ascii="Times New Roman" w:hAnsi="Times New Roman"/>
                <w:kern w:val="0"/>
                <w:szCs w:val="21"/>
              </w:rPr>
            </w:pPr>
            <w:r>
              <w:rPr>
                <w:rFonts w:ascii="Times New Roman" w:hAnsi="Times New Roman"/>
                <w:szCs w:val="21"/>
              </w:rPr>
              <w:t>国际合作与交流处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3</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rPr>
              <w:t>创新人才评价方式。贯彻“破五唯”人才评价要求，进一步优化评价体系设计，探索建立导向明确、分类合理、客观公正、激励约束并重的分类、多元、校本化评价体系。在职称评审、岗位聘任中科学灵活采用评审、考评结合、考核认定、个人述职、面试答辩、实践操作、业绩展示等不同评价方式，提高人才评价的针对性和精准性，探索建立承诺制评价、评定退出机制等，加强动态管理考核，打破“一评定终身”。</w:t>
            </w:r>
          </w:p>
        </w:tc>
        <w:tc>
          <w:tcPr>
            <w:tcW w:w="850"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szCs w:val="21"/>
              </w:rPr>
              <w:t>各二级基层党组织</w:t>
            </w:r>
          </w:p>
          <w:p>
            <w:pPr>
              <w:spacing w:line="300" w:lineRule="exact"/>
              <w:jc w:val="center"/>
              <w:rPr>
                <w:rFonts w:ascii="Times New Roman" w:hAnsi="Times New Roman"/>
                <w:kern w:val="0"/>
                <w:szCs w:val="21"/>
              </w:rPr>
            </w:pPr>
            <w:r>
              <w:rPr>
                <w:rFonts w:ascii="Times New Roman" w:hAnsi="Times New Roman"/>
                <w:szCs w:val="21"/>
              </w:rPr>
              <w:t>教务处</w:t>
            </w:r>
          </w:p>
          <w:p>
            <w:pPr>
              <w:spacing w:line="300" w:lineRule="exact"/>
              <w:jc w:val="center"/>
              <w:rPr>
                <w:rFonts w:ascii="Times New Roman" w:hAnsi="Times New Roman"/>
                <w:kern w:val="0"/>
                <w:szCs w:val="21"/>
              </w:rPr>
            </w:pPr>
            <w:r>
              <w:rPr>
                <w:rFonts w:ascii="Times New Roman" w:hAnsi="Times New Roman"/>
                <w:szCs w:val="21"/>
              </w:rPr>
              <w:t>科学技术处</w:t>
            </w:r>
          </w:p>
          <w:p>
            <w:pPr>
              <w:spacing w:line="300" w:lineRule="exact"/>
              <w:jc w:val="center"/>
              <w:rPr>
                <w:rFonts w:ascii="Times New Roman" w:hAnsi="Times New Roman"/>
                <w:kern w:val="0"/>
                <w:szCs w:val="21"/>
              </w:rPr>
            </w:pPr>
            <w:r>
              <w:rPr>
                <w:rFonts w:ascii="Times New Roman" w:hAnsi="Times New Roman"/>
                <w:szCs w:val="21"/>
              </w:rPr>
              <w:t>社会科学处</w:t>
            </w:r>
          </w:p>
          <w:p>
            <w:pPr>
              <w:spacing w:line="300" w:lineRule="exact"/>
              <w:jc w:val="center"/>
              <w:rPr>
                <w:rFonts w:ascii="Times New Roman" w:hAnsi="Times New Roman"/>
                <w:kern w:val="0"/>
                <w:szCs w:val="21"/>
              </w:rPr>
            </w:pPr>
            <w:r>
              <w:rPr>
                <w:rFonts w:ascii="Times New Roman" w:hAnsi="Times New Roman"/>
                <w:szCs w:val="21"/>
              </w:rPr>
              <w:t>财务处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4</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rPr>
              <w:t>健全组织保障机制。完善党委联系服务专家机制和人才工作领导小组工作机制，进一步优化校院两级人才工作责任体系，强化学院党委（支部）在人才工作中的主体责任，将人才队伍建设纳入学院和学科“一把手工程”，作为各单位综合考核、领导班子聘期考核及干部任用考核的一项重要内容。</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szCs w:val="21"/>
              </w:rPr>
              <w:t>各二级基层党组织</w:t>
            </w:r>
          </w:p>
          <w:p>
            <w:pPr>
              <w:spacing w:line="300" w:lineRule="exact"/>
              <w:jc w:val="center"/>
              <w:rPr>
                <w:rFonts w:ascii="Times New Roman" w:hAnsi="Times New Roman"/>
                <w:kern w:val="0"/>
                <w:szCs w:val="21"/>
              </w:rPr>
            </w:pPr>
            <w:r>
              <w:rPr>
                <w:rFonts w:ascii="Times New Roman" w:hAnsi="Times New Roman"/>
                <w:szCs w:val="21"/>
              </w:rPr>
              <w:t>党委办公室</w:t>
            </w:r>
          </w:p>
          <w:p>
            <w:pPr>
              <w:spacing w:line="300" w:lineRule="exact"/>
              <w:jc w:val="center"/>
              <w:rPr>
                <w:rFonts w:ascii="Times New Roman" w:hAnsi="Times New Roman"/>
                <w:kern w:val="0"/>
                <w:szCs w:val="21"/>
              </w:rPr>
            </w:pPr>
            <w:r>
              <w:rPr>
                <w:rFonts w:ascii="Times New Roman" w:hAnsi="Times New Roman"/>
                <w:szCs w:val="21"/>
              </w:rPr>
              <w:t>校长办公室</w:t>
            </w:r>
          </w:p>
          <w:p>
            <w:pPr>
              <w:spacing w:line="300" w:lineRule="exact"/>
              <w:jc w:val="center"/>
              <w:rPr>
                <w:rFonts w:ascii="Times New Roman" w:hAnsi="Times New Roman"/>
                <w:kern w:val="0"/>
                <w:szCs w:val="21"/>
              </w:rPr>
            </w:pPr>
            <w:r>
              <w:rPr>
                <w:rFonts w:ascii="Times New Roman" w:hAnsi="Times New Roman"/>
                <w:color w:val="000000"/>
                <w:kern w:val="0"/>
                <w:szCs w:val="21"/>
              </w:rPr>
              <w:t>财务处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12</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深入做好师德师风建设工作</w:t>
            </w:r>
          </w:p>
        </w:tc>
        <w:tc>
          <w:tcPr>
            <w:tcW w:w="4190" w:type="dxa"/>
            <w:vAlign w:val="center"/>
          </w:tcPr>
          <w:p>
            <w:pPr>
              <w:pStyle w:val="22"/>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1</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rPr>
              <w:t>强化教师思想政治工作。配齐配强思政教师队伍，认真做好引进人才思想政治考察和人才思想政治定期考察工作，持续加强人才政治引领政治吸纳。</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崔景贵</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szCs w:val="21"/>
              </w:rPr>
              <w:t>党委教师工作部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rPr>
                <w:rFonts w:ascii="Times New Roman" w:hAnsi="Times New Roman" w:eastAsia="宋体" w:cs="Times New Roman"/>
                <w:szCs w:val="21"/>
              </w:rPr>
            </w:pPr>
            <w:r>
              <w:rPr>
                <w:rFonts w:ascii="Times New Roman" w:hAnsi="Times New Roman" w:eastAsia="宋体" w:cs="Times New Roman"/>
                <w:szCs w:val="21"/>
              </w:rPr>
              <w:t>（2）持续完善师德师风建设制度。落实师德师风第一标准，制定出台《江苏理工学院教师师德师风考核评价实施办法》。</w:t>
            </w:r>
          </w:p>
        </w:tc>
        <w:tc>
          <w:tcPr>
            <w:tcW w:w="850"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szCs w:val="21"/>
              </w:rPr>
            </w:pPr>
            <w:r>
              <w:rPr>
                <w:rFonts w:ascii="Times New Roman" w:hAnsi="Times New Roman"/>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常态落实师德宣传教育。结合校本培训、岗前培训，开展教职工思想政治教育系列培训，宣扬先进典型，选拔培树一批师德高尚、业绩突出、群众认可的典型代表，努力营造尊崇师德、尊重学术、崇尚合作、维护公正的校园氛围。</w:t>
            </w:r>
          </w:p>
        </w:tc>
        <w:tc>
          <w:tcPr>
            <w:tcW w:w="850" w:type="dxa"/>
            <w:vMerge w:val="continue"/>
            <w:vAlign w:val="center"/>
          </w:tcPr>
          <w:p>
            <w:pPr>
              <w:keepNext/>
              <w:keepLines/>
              <w:spacing w:before="260" w:after="260" w:line="300" w:lineRule="exact"/>
              <w:jc w:val="center"/>
              <w:rPr>
                <w:rFonts w:ascii="Times New Roman" w:hAnsi="Times New Roman"/>
                <w:color w:val="000000"/>
                <w:kern w:val="0"/>
                <w:szCs w:val="21"/>
              </w:rPr>
            </w:pPr>
          </w:p>
        </w:tc>
        <w:tc>
          <w:tcPr>
            <w:tcW w:w="1276"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Align w:val="center"/>
          </w:tcPr>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各</w:t>
            </w:r>
            <w:r>
              <w:rPr>
                <w:rFonts w:ascii="Times New Roman" w:hAnsi="Times New Roman" w:eastAsia="宋体" w:cs="Times New Roman"/>
                <w:kern w:val="2"/>
                <w:sz w:val="21"/>
                <w:szCs w:val="21"/>
              </w:rPr>
              <w:t>二级基层</w:t>
            </w:r>
            <w:r>
              <w:rPr>
                <w:rFonts w:ascii="Times New Roman" w:hAnsi="Times New Roman" w:eastAsia="宋体" w:cs="Times New Roman"/>
                <w:color w:val="auto"/>
                <w:kern w:val="2"/>
                <w:sz w:val="21"/>
                <w:szCs w:val="21"/>
              </w:rPr>
              <w:t>党组织</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党委宣传部</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工会</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sz w:val="21"/>
                <w:szCs w:val="21"/>
              </w:rPr>
              <w:t>教师发展中心</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pStyle w:val="22"/>
              <w:jc w:val="both"/>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4</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rPr>
              <w:t>从严落实师德师风“一票否决”。常态落实师德培育、监督、考核等机制，畅通监督举报渠道，常态开展教职工师德师风监督检查，建立完善新进教职工师德考核评价机制，规范组织教职工师德师风年度考核。</w:t>
            </w:r>
          </w:p>
        </w:tc>
        <w:tc>
          <w:tcPr>
            <w:tcW w:w="850" w:type="dxa"/>
            <w:vMerge w:val="continue"/>
            <w:vAlign w:val="center"/>
          </w:tcPr>
          <w:p>
            <w:pPr>
              <w:keepNext/>
              <w:keepLines/>
              <w:spacing w:before="260" w:after="260" w:line="300" w:lineRule="exact"/>
              <w:jc w:val="center"/>
              <w:rPr>
                <w:rFonts w:ascii="Times New Roman" w:hAnsi="Times New Roman"/>
                <w:color w:val="000000"/>
                <w:kern w:val="0"/>
                <w:szCs w:val="21"/>
              </w:rPr>
            </w:pPr>
          </w:p>
        </w:tc>
        <w:tc>
          <w:tcPr>
            <w:tcW w:w="1276" w:type="dxa"/>
            <w:vMerge w:val="continue"/>
            <w:vAlign w:val="center"/>
          </w:tcPr>
          <w:p>
            <w:pPr>
              <w:keepNext/>
              <w:keepLines/>
              <w:spacing w:before="260" w:after="260" w:line="300" w:lineRule="exact"/>
              <w:jc w:val="center"/>
              <w:rPr>
                <w:rFonts w:ascii="Times New Roman" w:hAnsi="Times New Roman"/>
                <w:kern w:val="0"/>
                <w:szCs w:val="21"/>
              </w:rPr>
            </w:pPr>
          </w:p>
        </w:tc>
        <w:tc>
          <w:tcPr>
            <w:tcW w:w="1276" w:type="dxa"/>
            <w:vAlign w:val="center"/>
          </w:tcPr>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各</w:t>
            </w:r>
            <w:r>
              <w:rPr>
                <w:rFonts w:ascii="Times New Roman" w:hAnsi="Times New Roman" w:eastAsia="宋体" w:cs="Times New Roman"/>
                <w:kern w:val="2"/>
                <w:sz w:val="21"/>
                <w:szCs w:val="21"/>
              </w:rPr>
              <w:t>二级基层</w:t>
            </w:r>
            <w:r>
              <w:rPr>
                <w:rFonts w:ascii="Times New Roman" w:hAnsi="Times New Roman" w:eastAsia="宋体" w:cs="Times New Roman"/>
                <w:color w:val="auto"/>
                <w:kern w:val="2"/>
                <w:sz w:val="21"/>
                <w:szCs w:val="21"/>
              </w:rPr>
              <w:t>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（五）加强基层组织建设</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13</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严肃党内政治生活</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落实领导干部双重组织生活制度，落实“三会一课”制度、民主生活会、组织生活会、民主评议党员等制度，引进“复兴壹号”系统，对党内政治生活进行信息化管理。</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14</w:t>
            </w:r>
          </w:p>
        </w:tc>
        <w:tc>
          <w:tcPr>
            <w:tcW w:w="1193" w:type="dxa"/>
            <w:vMerge w:val="restart"/>
            <w:vAlign w:val="center"/>
          </w:tcPr>
          <w:p>
            <w:pPr>
              <w:widowControl/>
              <w:jc w:val="left"/>
              <w:rPr>
                <w:rFonts w:ascii="Times New Roman" w:hAnsi="Times New Roman"/>
                <w:kern w:val="0"/>
                <w:szCs w:val="21"/>
              </w:rPr>
            </w:pPr>
            <w:r>
              <w:rPr>
                <w:rFonts w:ascii="Times New Roman" w:hAnsi="Times New Roman"/>
                <w:color w:val="000000"/>
                <w:kern w:val="0"/>
                <w:szCs w:val="21"/>
              </w:rPr>
              <w:t xml:space="preserve">加强党员 </w:t>
            </w:r>
          </w:p>
          <w:p>
            <w:pPr>
              <w:widowControl/>
              <w:jc w:val="left"/>
              <w:rPr>
                <w:rFonts w:ascii="Times New Roman" w:hAnsi="Times New Roman"/>
                <w:kern w:val="0"/>
                <w:szCs w:val="21"/>
              </w:rPr>
            </w:pPr>
            <w:r>
              <w:rPr>
                <w:rFonts w:ascii="Times New Roman" w:hAnsi="Times New Roman"/>
                <w:color w:val="000000"/>
                <w:kern w:val="0"/>
                <w:szCs w:val="21"/>
              </w:rPr>
              <w:t xml:space="preserve">队伍建设 </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（1）坚持把政治标准放在首位，扎实推进教师党员先锋工程、大学生党员素质工程。 </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9" w:type="dxa"/>
            <w:vMerge w:val="continue"/>
          </w:tcPr>
          <w:p>
            <w:pPr>
              <w:spacing w:line="300" w:lineRule="exact"/>
              <w:rPr>
                <w:rFonts w:ascii="Times New Roman" w:hAnsi="Times New Roman"/>
                <w:kern w:val="0"/>
                <w:szCs w:val="21"/>
              </w:rPr>
            </w:pPr>
          </w:p>
        </w:tc>
        <w:tc>
          <w:tcPr>
            <w:tcW w:w="927" w:type="dxa"/>
            <w:vMerge w:val="continue"/>
            <w:vAlign w:val="center"/>
          </w:tcPr>
          <w:p>
            <w:pPr>
              <w:spacing w:line="300" w:lineRule="exact"/>
              <w:rPr>
                <w:rFonts w:ascii="Times New Roman" w:hAnsi="Times New Roman"/>
                <w:b/>
                <w:kern w:val="0"/>
                <w:szCs w:val="21"/>
              </w:rPr>
            </w:pPr>
          </w:p>
        </w:tc>
        <w:tc>
          <w:tcPr>
            <w:tcW w:w="624" w:type="dxa"/>
            <w:vMerge w:val="continue"/>
            <w:vAlign w:val="center"/>
          </w:tcPr>
          <w:p>
            <w:pPr>
              <w:spacing w:line="300" w:lineRule="exact"/>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（2）规范党员发展程序，严把发展党员质量关，重视在优秀青年教师、高知识群体中发展党员，落实大学生党员发展“三投票三公示一答辩”制度。</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69" w:type="dxa"/>
            <w:vMerge w:val="continue"/>
          </w:tcPr>
          <w:p>
            <w:pPr>
              <w:spacing w:line="300" w:lineRule="exact"/>
              <w:rPr>
                <w:rFonts w:ascii="Times New Roman" w:hAnsi="Times New Roman"/>
                <w:kern w:val="0"/>
                <w:szCs w:val="21"/>
              </w:rPr>
            </w:pPr>
          </w:p>
        </w:tc>
        <w:tc>
          <w:tcPr>
            <w:tcW w:w="927" w:type="dxa"/>
            <w:vMerge w:val="continue"/>
            <w:vAlign w:val="center"/>
          </w:tcPr>
          <w:p>
            <w:pPr>
              <w:spacing w:line="300" w:lineRule="exact"/>
              <w:rPr>
                <w:rFonts w:ascii="Times New Roman" w:hAnsi="Times New Roman"/>
                <w:b/>
                <w:kern w:val="0"/>
                <w:szCs w:val="21"/>
              </w:rPr>
            </w:pPr>
          </w:p>
        </w:tc>
        <w:tc>
          <w:tcPr>
            <w:tcW w:w="624" w:type="dxa"/>
            <w:vMerge w:val="continue"/>
            <w:vAlign w:val="center"/>
          </w:tcPr>
          <w:p>
            <w:pPr>
              <w:spacing w:line="300" w:lineRule="exact"/>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（3）深入推进“两学一做”学习教育常态化制度化，制定《江苏理工学院 2021年党员学习教育计划》，加强党员日常教育管理。充分发挥师生党员在教学科研、学习生活中的先锋模范作用。</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15</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推进基层党组织建设提质增效</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（1）以教育部高校党组织“对标争先”建设计划、省委基层党建“五聚焦五落实”三年行动计划、江苏高校三级党组织“固本强基”五年计划为抓手，培育创建基层党建“标杆院系</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样板支部”，抓基层打基础，提升基层党组织的组织力。 </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9" w:type="dxa"/>
            <w:vMerge w:val="continue"/>
          </w:tcPr>
          <w:p>
            <w:pPr>
              <w:spacing w:line="300" w:lineRule="exact"/>
              <w:rPr>
                <w:rFonts w:ascii="Times New Roman" w:hAnsi="Times New Roman"/>
                <w:kern w:val="0"/>
                <w:szCs w:val="21"/>
              </w:rPr>
            </w:pPr>
          </w:p>
        </w:tc>
        <w:tc>
          <w:tcPr>
            <w:tcW w:w="927" w:type="dxa"/>
            <w:vMerge w:val="continue"/>
            <w:vAlign w:val="center"/>
          </w:tcPr>
          <w:p>
            <w:pPr>
              <w:spacing w:line="300" w:lineRule="exact"/>
              <w:rPr>
                <w:rFonts w:ascii="Times New Roman" w:hAnsi="Times New Roman"/>
                <w:b/>
                <w:kern w:val="0"/>
                <w:szCs w:val="21"/>
              </w:rPr>
            </w:pPr>
          </w:p>
        </w:tc>
        <w:tc>
          <w:tcPr>
            <w:tcW w:w="624" w:type="dxa"/>
            <w:vMerge w:val="continue"/>
            <w:vAlign w:val="center"/>
          </w:tcPr>
          <w:p>
            <w:pPr>
              <w:spacing w:line="300" w:lineRule="exact"/>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（2）落实高校党支部建设“提质增效”三年行动计划，培育特色党支部。</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9" w:type="dxa"/>
            <w:vMerge w:val="continue"/>
          </w:tcPr>
          <w:p>
            <w:pPr>
              <w:spacing w:line="300" w:lineRule="exact"/>
              <w:rPr>
                <w:rFonts w:ascii="Times New Roman" w:hAnsi="Times New Roman"/>
                <w:kern w:val="0"/>
                <w:szCs w:val="21"/>
              </w:rPr>
            </w:pPr>
          </w:p>
        </w:tc>
        <w:tc>
          <w:tcPr>
            <w:tcW w:w="927" w:type="dxa"/>
            <w:vMerge w:val="continue"/>
            <w:vAlign w:val="center"/>
          </w:tcPr>
          <w:p>
            <w:pPr>
              <w:spacing w:line="300" w:lineRule="exact"/>
              <w:rPr>
                <w:rFonts w:ascii="Times New Roman" w:hAnsi="Times New Roman"/>
                <w:b/>
                <w:kern w:val="0"/>
                <w:szCs w:val="21"/>
              </w:rPr>
            </w:pPr>
          </w:p>
        </w:tc>
        <w:tc>
          <w:tcPr>
            <w:tcW w:w="624" w:type="dxa"/>
            <w:vMerge w:val="continue"/>
            <w:vAlign w:val="center"/>
          </w:tcPr>
          <w:p>
            <w:pPr>
              <w:spacing w:line="300" w:lineRule="exact"/>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（3）深入实施教师党支部书记“双带头人”培育工程，加强党支部书记工作室、党员教育实境课堂建设,加大基层党建工作保障力度。 </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（六）加强作风建设</w:t>
            </w: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16</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巩固作风建设成果</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（1）持续整治“四风”突出问题，特别是形式主义官僚主义问题，弘扬优良校风师风教风学风。开展机关作风建设专项监督。</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（2）严格执行中央八项规定及实施细则精神，紧盯重要时间节点，强化纪律提醒，早打招呼，早作提醒，严肃查处违反中央八项规定精神的问题，及时通报曝光。</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17</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密切联系师生</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（1）认真落实学校《定期征求师生意见办法（试行）》，切实为师生解决实际问题。</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党委统战部</w:t>
            </w:r>
          </w:p>
          <w:p>
            <w:pPr>
              <w:spacing w:line="300" w:lineRule="exact"/>
              <w:jc w:val="center"/>
              <w:rPr>
                <w:rFonts w:ascii="Times New Roman" w:hAnsi="Times New Roman"/>
                <w:kern w:val="0"/>
                <w:szCs w:val="21"/>
              </w:rPr>
            </w:pPr>
            <w:r>
              <w:rPr>
                <w:rFonts w:ascii="Times New Roman" w:hAnsi="Times New Roman"/>
                <w:kern w:val="0"/>
                <w:szCs w:val="21"/>
              </w:rPr>
              <w:t>党委教师工作部</w:t>
            </w:r>
          </w:p>
          <w:p>
            <w:pPr>
              <w:spacing w:line="300" w:lineRule="exact"/>
              <w:jc w:val="center"/>
              <w:rPr>
                <w:rFonts w:ascii="Times New Roman" w:hAnsi="Times New Roman"/>
                <w:kern w:val="0"/>
                <w:szCs w:val="21"/>
              </w:rPr>
            </w:pPr>
            <w:r>
              <w:rPr>
                <w:rFonts w:ascii="Times New Roman" w:hAnsi="Times New Roman"/>
                <w:kern w:val="0"/>
                <w:szCs w:val="21"/>
              </w:rPr>
              <w:t>发展规划处</w:t>
            </w:r>
          </w:p>
          <w:p>
            <w:pPr>
              <w:spacing w:line="300" w:lineRule="exact"/>
              <w:jc w:val="center"/>
              <w:rPr>
                <w:rFonts w:ascii="Times New Roman" w:hAnsi="Times New Roman"/>
                <w:kern w:val="0"/>
                <w:szCs w:val="21"/>
              </w:rPr>
            </w:pPr>
            <w:r>
              <w:rPr>
                <w:rFonts w:ascii="Times New Roman" w:hAnsi="Times New Roman"/>
                <w:kern w:val="0"/>
                <w:szCs w:val="21"/>
              </w:rPr>
              <w:t>党委学生工作部</w:t>
            </w:r>
          </w:p>
          <w:p>
            <w:pPr>
              <w:spacing w:line="300" w:lineRule="exact"/>
              <w:jc w:val="center"/>
              <w:rPr>
                <w:rFonts w:ascii="Times New Roman" w:hAnsi="Times New Roman"/>
                <w:kern w:val="0"/>
                <w:szCs w:val="21"/>
              </w:rPr>
            </w:pPr>
            <w:r>
              <w:rPr>
                <w:rFonts w:ascii="Times New Roman" w:hAnsi="Times New Roman"/>
                <w:kern w:val="0"/>
                <w:szCs w:val="21"/>
              </w:rPr>
              <w:t>工会</w:t>
            </w:r>
          </w:p>
          <w:p>
            <w:pPr>
              <w:spacing w:line="300" w:lineRule="exact"/>
              <w:jc w:val="center"/>
              <w:rPr>
                <w:rFonts w:ascii="Times New Roman" w:hAnsi="Times New Roman"/>
                <w:kern w:val="0"/>
                <w:szCs w:val="21"/>
              </w:rPr>
            </w:pPr>
            <w:r>
              <w:rPr>
                <w:rFonts w:ascii="Times New Roman" w:hAnsi="Times New Roman"/>
                <w:kern w:val="0"/>
                <w:szCs w:val="21"/>
              </w:rPr>
              <w:t>团委</w:t>
            </w:r>
          </w:p>
          <w:p>
            <w:pPr>
              <w:spacing w:line="300" w:lineRule="exact"/>
              <w:jc w:val="center"/>
              <w:rPr>
                <w:rFonts w:ascii="Times New Roman" w:hAnsi="Times New Roman"/>
                <w:kern w:val="0"/>
                <w:szCs w:val="21"/>
              </w:rPr>
            </w:pPr>
            <w:r>
              <w:rPr>
                <w:rFonts w:ascii="Times New Roman" w:hAnsi="Times New Roman"/>
                <w:kern w:val="0"/>
                <w:szCs w:val="21"/>
              </w:rPr>
              <w:t>离退休工作处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（2）认真落实学校《加强和改进领导干部深入基层联系学生工作实施方案》，推动形成育人合力。</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党委宣传部</w:t>
            </w:r>
          </w:p>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党委学生工作部</w:t>
            </w:r>
          </w:p>
          <w:p>
            <w:pPr>
              <w:spacing w:line="300" w:lineRule="exact"/>
              <w:jc w:val="center"/>
              <w:rPr>
                <w:rFonts w:ascii="Times New Roman" w:hAnsi="Times New Roman"/>
                <w:kern w:val="0"/>
                <w:szCs w:val="21"/>
              </w:rPr>
            </w:pPr>
            <w:r>
              <w:rPr>
                <w:rFonts w:ascii="Times New Roman" w:hAnsi="Times New Roman"/>
                <w:kern w:val="0"/>
                <w:szCs w:val="21"/>
              </w:rPr>
              <w:t>党委研究生工作部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（3）认真落实校党委领导联系民主党派基层组织、统战团体及党外代表人士制度。</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党委统战部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（4）认真落实学校《关于进一步改进工作作风密切联系群众的规定》和《校级领导调查研究工作制度（试行）》，构建作风建设长效机制。</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（七）加强纪律建设</w:t>
            </w: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（七）加强纪律建设</w:t>
            </w: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18</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坚持用好 “第一种形态”</w:t>
            </w:r>
          </w:p>
        </w:tc>
        <w:tc>
          <w:tcPr>
            <w:tcW w:w="4190" w:type="dxa"/>
            <w:vAlign w:val="center"/>
          </w:tcPr>
          <w:p>
            <w:pPr>
              <w:tabs>
                <w:tab w:val="left" w:pos="1438"/>
              </w:tabs>
              <w:spacing w:line="300" w:lineRule="exact"/>
              <w:rPr>
                <w:rFonts w:ascii="Times New Roman" w:hAnsi="Times New Roman" w:eastAsia="宋体" w:cs="Times New Roman"/>
                <w:szCs w:val="21"/>
              </w:rPr>
            </w:pPr>
            <w:r>
              <w:rPr>
                <w:rFonts w:ascii="Times New Roman" w:hAnsi="Times New Roman" w:eastAsia="宋体" w:cs="Times New Roman"/>
                <w:szCs w:val="21"/>
              </w:rPr>
              <w:t>（1）深化运用监督执纪“第一种形态”，抓早抓小、防微杜渐，对分管部门、联系单位党员干部身上存在的苗头性、倾向性问题，及时约谈提醒、严肃批评教育，让“红脸出汗”成为常态。</w:t>
            </w:r>
          </w:p>
        </w:tc>
        <w:tc>
          <w:tcPr>
            <w:tcW w:w="850" w:type="dxa"/>
            <w:vMerge w:val="restart"/>
            <w:vAlign w:val="center"/>
          </w:tcPr>
          <w:p>
            <w:pPr>
              <w:spacing w:line="300" w:lineRule="exact"/>
              <w:rPr>
                <w:rFonts w:ascii="Times New Roman" w:hAnsi="Times New Roman"/>
                <w:kern w:val="0"/>
                <w:szCs w:val="21"/>
              </w:rPr>
            </w:pPr>
            <w:r>
              <w:rPr>
                <w:rFonts w:ascii="Times New Roman" w:hAnsi="Times New Roman"/>
                <w:kern w:val="0"/>
                <w:szCs w:val="21"/>
              </w:rPr>
              <w:t xml:space="preserve">     </w:t>
            </w: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黄步军</w:t>
            </w:r>
          </w:p>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p>
          <w:p>
            <w:pPr>
              <w:spacing w:line="300" w:lineRule="exact"/>
              <w:rPr>
                <w:rFonts w:ascii="Times New Roman" w:hAnsi="Times New Roman"/>
                <w:kern w:val="0"/>
                <w:szCs w:val="21"/>
              </w:rPr>
            </w:pPr>
          </w:p>
          <w:p>
            <w:pPr>
              <w:spacing w:line="300" w:lineRule="exact"/>
              <w:jc w:val="center"/>
              <w:rPr>
                <w:rFonts w:ascii="Times New Roman" w:hAnsi="Times New Roman"/>
                <w:kern w:val="0"/>
                <w:szCs w:val="21"/>
              </w:rPr>
            </w:pPr>
          </w:p>
        </w:tc>
        <w:tc>
          <w:tcPr>
            <w:tcW w:w="1276"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p>
            <w:pPr>
              <w:tabs>
                <w:tab w:val="left" w:pos="1438"/>
              </w:tabs>
              <w:spacing w:line="300" w:lineRule="exact"/>
              <w:rPr>
                <w:rFonts w:ascii="Times New Roman" w:hAnsi="Times New Roman"/>
                <w:color w:val="000000"/>
                <w:kern w:val="0"/>
                <w:szCs w:val="21"/>
              </w:rPr>
            </w:pPr>
          </w:p>
        </w:tc>
        <w:tc>
          <w:tcPr>
            <w:tcW w:w="1276" w:type="dxa"/>
            <w:vMerge w:val="restart"/>
            <w:vAlign w:val="center"/>
          </w:tcPr>
          <w:p>
            <w:pPr>
              <w:spacing w:line="300" w:lineRule="exact"/>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tabs>
                <w:tab w:val="left" w:pos="1438"/>
              </w:tabs>
              <w:spacing w:line="300" w:lineRule="exact"/>
              <w:ind w:firstLine="420" w:firstLineChars="200"/>
              <w:rPr>
                <w:rFonts w:ascii="Times New Roman" w:hAnsi="Times New Roman"/>
                <w:color w:val="000000"/>
                <w:kern w:val="0"/>
                <w:szCs w:val="21"/>
              </w:rPr>
            </w:pPr>
          </w:p>
        </w:tc>
        <w:tc>
          <w:tcPr>
            <w:tcW w:w="992" w:type="dxa"/>
            <w:vMerge w:val="restart"/>
            <w:vAlign w:val="center"/>
          </w:tcPr>
          <w:p>
            <w:pPr>
              <w:spacing w:line="300" w:lineRule="exact"/>
              <w:jc w:val="center"/>
              <w:rPr>
                <w:rFonts w:ascii="Times New Roman" w:hAnsi="Times New Roman"/>
                <w:color w:val="000000"/>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69" w:type="dxa"/>
            <w:vMerge w:val="continue"/>
          </w:tcPr>
          <w:p>
            <w:pPr>
              <w:tabs>
                <w:tab w:val="left" w:pos="1438"/>
              </w:tabs>
              <w:spacing w:line="300" w:lineRule="exact"/>
              <w:rPr>
                <w:rFonts w:ascii="Times New Roman" w:hAnsi="Times New Roman"/>
                <w:szCs w:val="21"/>
              </w:rPr>
            </w:pPr>
          </w:p>
        </w:tc>
        <w:tc>
          <w:tcPr>
            <w:tcW w:w="927" w:type="dxa"/>
            <w:vMerge w:val="continue"/>
            <w:vAlign w:val="center"/>
          </w:tcPr>
          <w:p>
            <w:pPr>
              <w:tabs>
                <w:tab w:val="left" w:pos="1438"/>
              </w:tabs>
              <w:spacing w:line="300" w:lineRule="exact"/>
              <w:rPr>
                <w:rFonts w:ascii="Times New Roman" w:hAnsi="Times New Roman"/>
                <w:b/>
                <w:szCs w:val="21"/>
              </w:rPr>
            </w:pPr>
          </w:p>
        </w:tc>
        <w:tc>
          <w:tcPr>
            <w:tcW w:w="624" w:type="dxa"/>
            <w:vMerge w:val="continue"/>
            <w:vAlign w:val="center"/>
          </w:tcPr>
          <w:p>
            <w:pPr>
              <w:tabs>
                <w:tab w:val="left" w:pos="1438"/>
              </w:tabs>
              <w:spacing w:line="300" w:lineRule="exact"/>
              <w:rPr>
                <w:rFonts w:ascii="Times New Roman" w:hAnsi="Times New Roman"/>
                <w:szCs w:val="21"/>
              </w:rPr>
            </w:pPr>
          </w:p>
        </w:tc>
        <w:tc>
          <w:tcPr>
            <w:tcW w:w="1193" w:type="dxa"/>
            <w:vMerge w:val="continue"/>
            <w:vAlign w:val="center"/>
          </w:tcPr>
          <w:p>
            <w:pPr>
              <w:tabs>
                <w:tab w:val="left" w:pos="1438"/>
              </w:tabs>
              <w:spacing w:line="300" w:lineRule="exact"/>
              <w:rPr>
                <w:rFonts w:ascii="Times New Roman" w:hAnsi="Times New Roman"/>
                <w:szCs w:val="21"/>
              </w:rPr>
            </w:pPr>
          </w:p>
        </w:tc>
        <w:tc>
          <w:tcPr>
            <w:tcW w:w="4190" w:type="dxa"/>
            <w:vAlign w:val="center"/>
          </w:tcPr>
          <w:p>
            <w:pPr>
              <w:tabs>
                <w:tab w:val="left" w:pos="1438"/>
              </w:tabs>
              <w:spacing w:line="300" w:lineRule="exact"/>
              <w:rPr>
                <w:rFonts w:ascii="Times New Roman" w:hAnsi="Times New Roman" w:eastAsia="宋体" w:cs="Times New Roman"/>
                <w:szCs w:val="21"/>
              </w:rPr>
            </w:pPr>
            <w:r>
              <w:rPr>
                <w:rFonts w:ascii="Times New Roman" w:hAnsi="Times New Roman" w:eastAsia="宋体" w:cs="Times New Roman"/>
                <w:szCs w:val="21"/>
              </w:rPr>
              <w:t>（2）切实推动基层党组织充分运用监督执纪“第一种形态”，及时报告运用情况。</w:t>
            </w:r>
          </w:p>
        </w:tc>
        <w:tc>
          <w:tcPr>
            <w:tcW w:w="850" w:type="dxa"/>
            <w:vMerge w:val="continue"/>
            <w:vAlign w:val="center"/>
          </w:tcPr>
          <w:p>
            <w:pPr>
              <w:tabs>
                <w:tab w:val="left" w:pos="1438"/>
              </w:tabs>
              <w:spacing w:line="300" w:lineRule="exact"/>
              <w:rPr>
                <w:rFonts w:ascii="Times New Roman" w:hAnsi="Times New Roman"/>
                <w:color w:val="000000"/>
                <w:kern w:val="0"/>
                <w:szCs w:val="21"/>
              </w:rPr>
            </w:pPr>
          </w:p>
        </w:tc>
        <w:tc>
          <w:tcPr>
            <w:tcW w:w="1276" w:type="dxa"/>
            <w:vMerge w:val="continue"/>
            <w:vAlign w:val="center"/>
          </w:tcPr>
          <w:p>
            <w:pPr>
              <w:tabs>
                <w:tab w:val="left" w:pos="1438"/>
              </w:tabs>
              <w:spacing w:line="300" w:lineRule="exact"/>
              <w:rPr>
                <w:rFonts w:ascii="Times New Roman" w:hAnsi="Times New Roman"/>
                <w:color w:val="000000"/>
                <w:kern w:val="0"/>
                <w:szCs w:val="21"/>
              </w:rPr>
            </w:pPr>
          </w:p>
        </w:tc>
        <w:tc>
          <w:tcPr>
            <w:tcW w:w="1276" w:type="dxa"/>
            <w:vMerge w:val="continue"/>
            <w:vAlign w:val="center"/>
          </w:tcPr>
          <w:p>
            <w:pPr>
              <w:tabs>
                <w:tab w:val="left" w:pos="1438"/>
              </w:tabs>
              <w:spacing w:line="300" w:lineRule="exact"/>
              <w:ind w:firstLine="420" w:firstLineChars="200"/>
              <w:rPr>
                <w:rFonts w:ascii="Times New Roman" w:hAnsi="Times New Roman"/>
                <w:color w:val="000000"/>
                <w:kern w:val="0"/>
                <w:szCs w:val="21"/>
              </w:rPr>
            </w:pPr>
          </w:p>
        </w:tc>
        <w:tc>
          <w:tcPr>
            <w:tcW w:w="992" w:type="dxa"/>
            <w:vMerge w:val="continue"/>
            <w:vAlign w:val="center"/>
          </w:tcPr>
          <w:p>
            <w:pPr>
              <w:tabs>
                <w:tab w:val="left" w:pos="1438"/>
              </w:tabs>
              <w:spacing w:line="300" w:lineRule="exact"/>
              <w:rPr>
                <w:rFonts w:ascii="Times New Roman" w:hAnsi="Times New Roman"/>
                <w:color w:val="000000"/>
                <w:kern w:val="0"/>
                <w:szCs w:val="21"/>
              </w:rPr>
            </w:pPr>
          </w:p>
        </w:tc>
        <w:tc>
          <w:tcPr>
            <w:tcW w:w="3771" w:type="dxa"/>
          </w:tcPr>
          <w:p>
            <w:pPr>
              <w:tabs>
                <w:tab w:val="left" w:pos="1438"/>
              </w:tabs>
              <w:spacing w:line="300" w:lineRule="exac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19</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加强纪律教育</w:t>
            </w:r>
          </w:p>
        </w:tc>
        <w:tc>
          <w:tcPr>
            <w:tcW w:w="4190" w:type="dxa"/>
            <w:vAlign w:val="center"/>
          </w:tcPr>
          <w:p>
            <w:pPr>
              <w:tabs>
                <w:tab w:val="left" w:pos="1438"/>
              </w:tabs>
              <w:spacing w:line="300" w:lineRule="exact"/>
              <w:rPr>
                <w:rFonts w:ascii="Times New Roman" w:hAnsi="Times New Roman" w:eastAsia="宋体" w:cs="Times New Roman"/>
                <w:szCs w:val="21"/>
              </w:rPr>
            </w:pPr>
            <w:r>
              <w:rPr>
                <w:rFonts w:ascii="Times New Roman" w:hAnsi="Times New Roman" w:eastAsia="宋体" w:cs="Times New Roman"/>
                <w:szCs w:val="21"/>
              </w:rPr>
              <w:t>（1）开展纪律宣传教育，坚持“严”的主基调，让党员干部树牢纪律意识、明确纪律要求、严守纪律规矩，习惯在受监督和约束的环境中工作生活。</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tabs>
                <w:tab w:val="left" w:pos="1438"/>
              </w:tabs>
              <w:spacing w:line="300" w:lineRule="exact"/>
              <w:rPr>
                <w:rFonts w:ascii="Times New Roman" w:hAnsi="Times New Roman" w:eastAsia="宋体" w:cs="Times New Roman"/>
                <w:szCs w:val="21"/>
              </w:rPr>
            </w:pPr>
            <w:r>
              <w:rPr>
                <w:rFonts w:ascii="Times New Roman" w:hAnsi="Times New Roman" w:eastAsia="宋体" w:cs="Times New Roman"/>
                <w:szCs w:val="21"/>
              </w:rPr>
              <w:t>（2）强化警示教育政治性精准性常态化。从加强和规范党内政治生活入手，抓住“关键少数”、典型案例精准施教，切实做到查处一案、警示一片，以案说纪、以案说法、以案说责。</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强化日常监督</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（1）坚持“监督的再监督”定位，持续深化“三转”，加强对重点领域关键环节的再监督，重点关注国有资产、招标采购、招生录取、教育培训、后勤基建等领域和环节。</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（2）紧盯关键少数，不定期约谈二级基层党组织负责人及纪检委员，督促做好履责记实。</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（3）健全廉政档案，完善会商机制，把好党风廉政意见回复关。</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21</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实行责任追究</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（1）实现常态化问责。对不履行全面从严治党主体责任或履行不力的，严肃追究失职之责党组织和党的领导干部的主体责任、监督责任、领导责任。</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（2）做好受处分人员思想政治工作及回访再教育，督促受处分人员所在基层党支部开展专题民主生活会，仔细剖析、深刻检讨。</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（3）强化典型案件问责整改通报制度，随案提出纪检监察建议，督促推动问题整改落实。开列问题清单，明确整改内容、要求和时限，督促通报整改落实情况，对整改不到位或拒不整改的严肃追责问责。</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（八）加强制度建设</w:t>
            </w: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22</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建立健全规章制度</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（1）建立健全以党的政治建设为统领、全面推进党的各方面建设的体制机制，统筹做好立、改、废、释工作，提高制度治党、依规治党水平。</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（2）工作中发现制度漏洞和廉政风险，及时提出建议意见，督促有关单位找准症结、完善制度、切实整改。</w:t>
            </w:r>
          </w:p>
        </w:tc>
        <w:tc>
          <w:tcPr>
            <w:tcW w:w="850"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23</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健全权力运行监督制约体系</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（1）充分发挥学校党风廉政建设和反腐败工作协调小组功能，加强与职能部门的协同联动，进一步凝聚监督合力，推进学校全面从严治党和党风廉政建设工作向纵深发展。</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rPr>
            </w:pP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（2）紧盯政策支持力度大、投资密集、资源集中的重点领域和关键环节，深化廉政风险点排查，推进党务公开、校务（院务）公开、权力运行公开，不断完善内控机制建设，从源头上防治腐败。</w:t>
            </w:r>
          </w:p>
        </w:tc>
        <w:tc>
          <w:tcPr>
            <w:tcW w:w="850"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24</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强化制度执行与落实</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（1）带头遵守党内法规制度，严格落实党内法规执行责任制，坚决纠正随意变通、恶意规避、无视制度等现象，维护法规制度的严肃性和权威性。</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kern w:val="0"/>
                <w:szCs w:val="21"/>
                <w:highlight w:val="green"/>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（2）工作中发现制度执行不力的，督促整改落实；造成严重后果的，予以问责。</w:t>
            </w:r>
          </w:p>
        </w:tc>
        <w:tc>
          <w:tcPr>
            <w:tcW w:w="850"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（九）深化政治巡视巡察</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25</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配合做好省委巡视工作</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制定配合巡视工作方案，成立领导小组、联络小组和校内工作小组，全力配合省委巡视工作。</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2021.03</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26</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突出政治监督，推进巡察全覆盖</w:t>
            </w:r>
          </w:p>
        </w:tc>
        <w:tc>
          <w:tcPr>
            <w:tcW w:w="4190"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坚持党委领导，贯彻“发现问题、形成震慑，推动改革、促进发展”工作方针，健全制度，印发工作计划、方案，严格巡察程序。开展两轮共计对8个二级单位党组织的常规巡察。推进整改，强化整改质效。</w:t>
            </w:r>
          </w:p>
        </w:tc>
        <w:tc>
          <w:tcPr>
            <w:tcW w:w="850" w:type="dxa"/>
            <w:vAlign w:val="center"/>
          </w:tcPr>
          <w:p>
            <w:pPr>
              <w:jc w:val="center"/>
              <w:rPr>
                <w:rFonts w:ascii="Times New Roman" w:hAnsi="Times New Roman"/>
                <w:kern w:val="0"/>
                <w:szCs w:val="21"/>
              </w:rPr>
            </w:pPr>
          </w:p>
          <w:p>
            <w:pPr>
              <w:spacing w:line="300" w:lineRule="exact"/>
              <w:jc w:val="center"/>
              <w:rPr>
                <w:rFonts w:ascii="Times New Roman" w:hAnsi="Times New Roman"/>
                <w:kern w:val="0"/>
                <w:szCs w:val="21"/>
              </w:rPr>
            </w:pPr>
            <w:r>
              <w:rPr>
                <w:rFonts w:ascii="Times New Roman" w:hAnsi="Times New Roman"/>
                <w:kern w:val="0"/>
                <w:szCs w:val="21"/>
              </w:rPr>
              <w:t>汤建石</w:t>
            </w:r>
          </w:p>
          <w:p>
            <w:pPr>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党委巡察</w:t>
            </w:r>
          </w:p>
          <w:p>
            <w:pPr>
              <w:spacing w:line="300" w:lineRule="exact"/>
              <w:jc w:val="center"/>
              <w:rPr>
                <w:rFonts w:ascii="Times New Roman" w:hAnsi="Times New Roman"/>
                <w:color w:val="FF0000"/>
                <w:kern w:val="0"/>
                <w:szCs w:val="21"/>
              </w:rPr>
            </w:pPr>
            <w:r>
              <w:rPr>
                <w:rFonts w:ascii="Times New Roman" w:hAnsi="Times New Roman"/>
                <w:kern w:val="0"/>
                <w:szCs w:val="21"/>
              </w:rPr>
              <w:t>工作办公室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相关二级基层党组织</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27</w:t>
            </w:r>
          </w:p>
        </w:tc>
        <w:tc>
          <w:tcPr>
            <w:tcW w:w="1193" w:type="dxa"/>
            <w:vMerge w:val="restart"/>
            <w:vAlign w:val="center"/>
          </w:tcPr>
          <w:p>
            <w:pPr>
              <w:spacing w:line="300" w:lineRule="exact"/>
              <w:jc w:val="left"/>
              <w:rPr>
                <w:rFonts w:ascii="Times New Roman" w:hAnsi="Times New Roman"/>
                <w:kern w:val="0"/>
                <w:szCs w:val="21"/>
              </w:rPr>
            </w:pPr>
            <w:r>
              <w:rPr>
                <w:rFonts w:ascii="Times New Roman" w:hAnsi="Times New Roman"/>
                <w:kern w:val="0"/>
                <w:szCs w:val="21"/>
              </w:rPr>
              <w:t>做好巡视整改工作</w:t>
            </w:r>
          </w:p>
        </w:tc>
        <w:tc>
          <w:tcPr>
            <w:tcW w:w="4190" w:type="dxa"/>
            <w:vAlign w:val="center"/>
          </w:tcPr>
          <w:p>
            <w:pPr>
              <w:numPr>
                <w:ilvl w:val="0"/>
                <w:numId w:val="1"/>
              </w:numPr>
              <w:jc w:val="left"/>
              <w:rPr>
                <w:rFonts w:ascii="Times New Roman" w:hAnsi="Times New Roman" w:eastAsia="宋体" w:cs="Times New Roman"/>
                <w:szCs w:val="21"/>
              </w:rPr>
            </w:pPr>
            <w:r>
              <w:rPr>
                <w:rFonts w:ascii="Times New Roman" w:hAnsi="Times New Roman" w:eastAsia="宋体" w:cs="Times New Roman"/>
                <w:szCs w:val="21"/>
              </w:rPr>
              <w:t>成立巡视整改工作领导小组，召开巡视整改工作会议，制定巡视整改工作方案和任务分解方案，明确路线图、时间表、责任人。</w:t>
            </w:r>
          </w:p>
          <w:p>
            <w:pPr>
              <w:numPr>
                <w:ilvl w:val="0"/>
                <w:numId w:val="1"/>
              </w:numPr>
              <w:jc w:val="left"/>
              <w:rPr>
                <w:rFonts w:ascii="Times New Roman" w:hAnsi="Times New Roman" w:eastAsia="宋体" w:cs="Times New Roman"/>
                <w:szCs w:val="21"/>
              </w:rPr>
            </w:pPr>
            <w:r>
              <w:rPr>
                <w:rFonts w:ascii="Times New Roman" w:hAnsi="Times New Roman" w:eastAsia="宋体" w:cs="Times New Roman"/>
                <w:szCs w:val="21"/>
              </w:rPr>
              <w:t>按要求撰写巡视整改工作报告，并提交省委巡视工作部门。</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2021.06</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color w:val="FF0000"/>
                <w:kern w:val="0"/>
                <w:szCs w:val="21"/>
              </w:rPr>
            </w:pPr>
          </w:p>
        </w:tc>
        <w:tc>
          <w:tcPr>
            <w:tcW w:w="4190"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（3）推动巡视整改与校内巡察联动，健全标本兼治长效机制。</w:t>
            </w:r>
          </w:p>
        </w:tc>
        <w:tc>
          <w:tcPr>
            <w:tcW w:w="850" w:type="dxa"/>
            <w:vMerge w:val="continue"/>
            <w:vAlign w:val="center"/>
          </w:tcPr>
          <w:p>
            <w:pPr>
              <w:spacing w:line="300" w:lineRule="exact"/>
              <w:jc w:val="center"/>
              <w:rPr>
                <w:rFonts w:ascii="Times New Roman" w:hAnsi="Times New Roman"/>
                <w:color w:val="FF0000"/>
                <w:kern w:val="0"/>
                <w:szCs w:val="21"/>
              </w:rPr>
            </w:pPr>
          </w:p>
        </w:tc>
        <w:tc>
          <w:tcPr>
            <w:tcW w:w="1276" w:type="dxa"/>
            <w:vMerge w:val="continue"/>
            <w:vAlign w:val="center"/>
          </w:tcPr>
          <w:p>
            <w:pPr>
              <w:spacing w:line="300" w:lineRule="exact"/>
              <w:jc w:val="center"/>
              <w:rPr>
                <w:rFonts w:ascii="Times New Roman" w:hAnsi="Times New Roman"/>
                <w:color w:val="FF0000"/>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党委巡察工作办公室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color w:val="FF0000"/>
                <w:kern w:val="0"/>
                <w:szCs w:val="21"/>
              </w:rPr>
            </w:pPr>
          </w:p>
        </w:tc>
        <w:tc>
          <w:tcPr>
            <w:tcW w:w="4190"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（4）加强对巡视整改工作的督查检查，确保巡视整改落细落深落实。</w:t>
            </w:r>
          </w:p>
        </w:tc>
        <w:tc>
          <w:tcPr>
            <w:tcW w:w="850" w:type="dxa"/>
            <w:vMerge w:val="continue"/>
            <w:vAlign w:val="center"/>
          </w:tcPr>
          <w:p>
            <w:pPr>
              <w:spacing w:line="300" w:lineRule="exact"/>
              <w:jc w:val="center"/>
              <w:rPr>
                <w:rFonts w:ascii="Times New Roman" w:hAnsi="Times New Roman"/>
                <w:color w:val="FF0000"/>
                <w:kern w:val="0"/>
                <w:szCs w:val="21"/>
              </w:rPr>
            </w:pPr>
          </w:p>
        </w:tc>
        <w:tc>
          <w:tcPr>
            <w:tcW w:w="1276" w:type="dxa"/>
            <w:vMerge w:val="continue"/>
            <w:vAlign w:val="center"/>
          </w:tcPr>
          <w:p>
            <w:pPr>
              <w:spacing w:line="300" w:lineRule="exact"/>
              <w:jc w:val="center"/>
              <w:rPr>
                <w:rFonts w:ascii="Times New Roman" w:hAnsi="Times New Roman"/>
                <w:color w:val="FF0000"/>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left"/>
              <w:rPr>
                <w:rFonts w:ascii="Times New Roman" w:hAnsi="Times New Roman"/>
                <w:color w:val="FF0000"/>
                <w:kern w:val="0"/>
                <w:szCs w:val="21"/>
              </w:rPr>
            </w:pPr>
          </w:p>
        </w:tc>
        <w:tc>
          <w:tcPr>
            <w:tcW w:w="4190"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（5）把巡视整改作为推进全面从严治党、推动整体工作的重要抓手，与开展党史学习教育、学校综合改革、“十四五”事业发展规划等重点工作相结合，巩固和深化巡视结果。</w:t>
            </w:r>
          </w:p>
        </w:tc>
        <w:tc>
          <w:tcPr>
            <w:tcW w:w="850" w:type="dxa"/>
            <w:vMerge w:val="continue"/>
            <w:vAlign w:val="center"/>
          </w:tcPr>
          <w:p>
            <w:pPr>
              <w:spacing w:line="300" w:lineRule="exact"/>
              <w:jc w:val="center"/>
              <w:rPr>
                <w:rFonts w:ascii="Times New Roman" w:hAnsi="Times New Roman"/>
                <w:color w:val="FF0000"/>
                <w:kern w:val="0"/>
                <w:szCs w:val="21"/>
              </w:rPr>
            </w:pPr>
          </w:p>
        </w:tc>
        <w:tc>
          <w:tcPr>
            <w:tcW w:w="1276" w:type="dxa"/>
            <w:vMerge w:val="continue"/>
            <w:vAlign w:val="center"/>
          </w:tcPr>
          <w:p>
            <w:pPr>
              <w:spacing w:line="300" w:lineRule="exact"/>
              <w:jc w:val="center"/>
              <w:rPr>
                <w:rFonts w:ascii="Times New Roman" w:hAnsi="Times New Roman"/>
                <w:color w:val="FF0000"/>
                <w:kern w:val="0"/>
                <w:szCs w:val="21"/>
              </w:rPr>
            </w:pPr>
          </w:p>
        </w:tc>
        <w:tc>
          <w:tcPr>
            <w:tcW w:w="1276" w:type="dxa"/>
            <w:vAlign w:val="center"/>
          </w:tcPr>
          <w:p>
            <w:pPr>
              <w:jc w:val="center"/>
              <w:rPr>
                <w:rFonts w:ascii="Times New Roman" w:hAnsi="Times New Roman"/>
                <w:color w:val="000000"/>
                <w:kern w:val="0"/>
                <w:szCs w:val="21"/>
              </w:rPr>
            </w:pPr>
            <w:r>
              <w:rPr>
                <w:rFonts w:ascii="Times New Roman" w:hAnsi="Times New Roman"/>
                <w:color w:val="000000"/>
                <w:kern w:val="0"/>
                <w:szCs w:val="21"/>
              </w:rPr>
              <w:t>党委宣传部</w:t>
            </w:r>
          </w:p>
          <w:p>
            <w:pPr>
              <w:jc w:val="center"/>
              <w:rPr>
                <w:rFonts w:ascii="Times New Roman" w:hAnsi="Times New Roman"/>
                <w:color w:val="000000"/>
                <w:kern w:val="0"/>
                <w:szCs w:val="21"/>
              </w:rPr>
            </w:pPr>
            <w:r>
              <w:rPr>
                <w:rFonts w:ascii="Times New Roman" w:hAnsi="Times New Roman"/>
                <w:color w:val="000000"/>
                <w:kern w:val="0"/>
                <w:szCs w:val="21"/>
              </w:rPr>
              <w:t>党委组织部</w:t>
            </w:r>
          </w:p>
          <w:p>
            <w:pPr>
              <w:jc w:val="center"/>
              <w:rPr>
                <w:rFonts w:ascii="Times New Roman" w:hAnsi="Times New Roman"/>
                <w:color w:val="000000"/>
                <w:kern w:val="0"/>
                <w:szCs w:val="21"/>
              </w:rPr>
            </w:pPr>
            <w:r>
              <w:rPr>
                <w:rFonts w:ascii="Times New Roman" w:hAnsi="Times New Roman"/>
                <w:color w:val="000000"/>
                <w:kern w:val="0"/>
                <w:szCs w:val="21"/>
              </w:rPr>
              <w:t>院长办公室</w:t>
            </w:r>
          </w:p>
          <w:p>
            <w:pPr>
              <w:jc w:val="center"/>
              <w:rPr>
                <w:rFonts w:ascii="Times New Roman" w:hAnsi="Times New Roman"/>
                <w:color w:val="000000"/>
                <w:kern w:val="0"/>
                <w:szCs w:val="21"/>
              </w:rPr>
            </w:pPr>
            <w:r>
              <w:rPr>
                <w:rFonts w:ascii="Times New Roman" w:hAnsi="Times New Roman"/>
                <w:color w:val="000000"/>
                <w:kern w:val="0"/>
                <w:szCs w:val="21"/>
              </w:rPr>
              <w:t>发展规划处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28</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深化“纪巡审”联动机制和巡视巡察结果运用</w:t>
            </w:r>
          </w:p>
        </w:tc>
        <w:tc>
          <w:tcPr>
            <w:tcW w:w="4190"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将巡视发现问题作为巡察监督重点内容。巡前加强与校党委组织部、纪委办公室、财务处、审计处等部门协调配合，收集问题通报巡察组；及时移交问题线索。巡后将发现问题向全校通报，相关部门进行专项整治，未巡察党组织未巡先改。</w:t>
            </w:r>
          </w:p>
        </w:tc>
        <w:tc>
          <w:tcPr>
            <w:tcW w:w="850" w:type="dxa"/>
            <w:vAlign w:val="center"/>
          </w:tcPr>
          <w:p>
            <w:pPr>
              <w:jc w:val="center"/>
              <w:rPr>
                <w:rFonts w:ascii="Times New Roman" w:hAnsi="Times New Roman"/>
                <w:kern w:val="0"/>
                <w:szCs w:val="21"/>
              </w:rPr>
            </w:pPr>
            <w:r>
              <w:rPr>
                <w:rFonts w:ascii="Times New Roman" w:hAnsi="Times New Roman"/>
                <w:kern w:val="0"/>
                <w:szCs w:val="21"/>
              </w:rPr>
              <w:t>朱林生</w:t>
            </w:r>
          </w:p>
          <w:p>
            <w:pPr>
              <w:jc w:val="center"/>
              <w:rPr>
                <w:rFonts w:ascii="Times New Roman" w:hAnsi="Times New Roman"/>
                <w:kern w:val="0"/>
                <w:szCs w:val="21"/>
              </w:rPr>
            </w:pPr>
            <w:r>
              <w:rPr>
                <w:rFonts w:ascii="Times New Roman" w:hAnsi="Times New Roman"/>
                <w:kern w:val="0"/>
                <w:szCs w:val="21"/>
              </w:rPr>
              <w:t>汤建石</w:t>
            </w:r>
          </w:p>
          <w:p>
            <w:pPr>
              <w:jc w:val="center"/>
              <w:rPr>
                <w:rFonts w:ascii="Times New Roman" w:hAnsi="Times New Roman"/>
                <w:kern w:val="0"/>
                <w:szCs w:val="21"/>
              </w:rPr>
            </w:pPr>
            <w:r>
              <w:rPr>
                <w:rFonts w:ascii="Times New Roman" w:hAnsi="Times New Roman"/>
                <w:kern w:val="0"/>
                <w:szCs w:val="21"/>
              </w:rPr>
              <w:t>黄步军</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党委巡察工作办公室</w:t>
            </w:r>
          </w:p>
          <w:p>
            <w:pPr>
              <w:spacing w:line="300" w:lineRule="exact"/>
              <w:jc w:val="center"/>
              <w:rPr>
                <w:rFonts w:ascii="Times New Roman" w:hAnsi="Times New Roman"/>
                <w:color w:val="FF0000"/>
                <w:kern w:val="0"/>
                <w:szCs w:val="21"/>
              </w:rPr>
            </w:pPr>
            <w:r>
              <w:rPr>
                <w:rFonts w:ascii="Times New Roman" w:hAnsi="Times New Roman"/>
                <w:kern w:val="0"/>
                <w:szCs w:val="21"/>
              </w:rPr>
              <w:t>审计处</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p>
            <w:pPr>
              <w:spacing w:line="300" w:lineRule="exact"/>
              <w:jc w:val="center"/>
              <w:rPr>
                <w:rFonts w:ascii="Times New Roman" w:hAnsi="Times New Roman"/>
                <w:kern w:val="0"/>
                <w:szCs w:val="21"/>
              </w:rPr>
            </w:pPr>
            <w:r>
              <w:rPr>
                <w:rFonts w:ascii="Times New Roman" w:hAnsi="Times New Roman"/>
                <w:kern w:val="0"/>
                <w:szCs w:val="21"/>
              </w:rPr>
              <w:t>党委组织部</w:t>
            </w:r>
          </w:p>
          <w:p>
            <w:pPr>
              <w:spacing w:line="300" w:lineRule="exact"/>
              <w:jc w:val="center"/>
              <w:rPr>
                <w:rFonts w:ascii="Times New Roman" w:hAnsi="Times New Roman"/>
                <w:kern w:val="0"/>
                <w:szCs w:val="21"/>
              </w:rPr>
            </w:pPr>
            <w:r>
              <w:rPr>
                <w:rFonts w:ascii="Times New Roman" w:hAnsi="Times New Roman"/>
                <w:kern w:val="0"/>
                <w:szCs w:val="21"/>
              </w:rPr>
              <w:t>党委巡察工作办公室</w:t>
            </w:r>
          </w:p>
          <w:p>
            <w:pPr>
              <w:spacing w:line="300" w:lineRule="exact"/>
              <w:jc w:val="center"/>
              <w:rPr>
                <w:rFonts w:ascii="Times New Roman" w:hAnsi="Times New Roman"/>
                <w:kern w:val="0"/>
                <w:szCs w:val="21"/>
              </w:rPr>
            </w:pPr>
            <w:r>
              <w:rPr>
                <w:rFonts w:ascii="Times New Roman" w:hAnsi="Times New Roman"/>
                <w:kern w:val="0"/>
                <w:szCs w:val="21"/>
              </w:rPr>
              <w:t>审计处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（十）巩固反腐败斗争压倒性胜利</w:t>
            </w: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29</w:t>
            </w:r>
          </w:p>
        </w:tc>
        <w:tc>
          <w:tcPr>
            <w:tcW w:w="1193"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一体推进“三不”</w:t>
            </w:r>
          </w:p>
        </w:tc>
        <w:tc>
          <w:tcPr>
            <w:tcW w:w="4190" w:type="dxa"/>
            <w:vAlign w:val="center"/>
          </w:tcPr>
          <w:p>
            <w:pPr>
              <w:spacing w:line="300" w:lineRule="exact"/>
              <w:ind w:leftChars="-38" w:hanging="79" w:hangingChars="38"/>
              <w:rPr>
                <w:rFonts w:ascii="Times New Roman" w:hAnsi="Times New Roman" w:eastAsia="宋体" w:cs="Times New Roman"/>
                <w:szCs w:val="21"/>
              </w:rPr>
            </w:pPr>
            <w:r>
              <w:rPr>
                <w:rFonts w:ascii="Times New Roman" w:hAnsi="Times New Roman" w:eastAsia="宋体" w:cs="Times New Roman"/>
                <w:szCs w:val="21"/>
              </w:rPr>
              <w:t>（1）压实党委落实全面从严治党主体责任、纪委监委履行协助职责和监督责任，推动“两个责任”在一体推进“三不”中同向发力、形成合力。</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黄步军</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1276"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纪委监督检查处</w:t>
            </w:r>
          </w:p>
          <w:p>
            <w:pPr>
              <w:spacing w:line="300" w:lineRule="exact"/>
              <w:jc w:val="center"/>
              <w:rPr>
                <w:rFonts w:ascii="Times New Roman" w:hAnsi="Times New Roman"/>
                <w:kern w:val="0"/>
                <w:szCs w:val="21"/>
              </w:rPr>
            </w:pPr>
            <w:r>
              <w:rPr>
                <w:rFonts w:ascii="Times New Roman" w:hAnsi="Times New Roman"/>
                <w:kern w:val="0"/>
                <w:szCs w:val="21"/>
              </w:rPr>
              <w:t>纪委审查调查处</w:t>
            </w:r>
          </w:p>
        </w:tc>
        <w:tc>
          <w:tcPr>
            <w:tcW w:w="992"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spacing w:line="300" w:lineRule="exact"/>
              <w:ind w:leftChars="-38" w:hanging="79" w:hangingChars="38"/>
              <w:rPr>
                <w:rFonts w:ascii="Times New Roman" w:hAnsi="Times New Roman" w:eastAsia="宋体" w:cs="Times New Roman"/>
                <w:szCs w:val="21"/>
              </w:rPr>
            </w:pPr>
            <w:r>
              <w:rPr>
                <w:rFonts w:ascii="Times New Roman" w:hAnsi="Times New Roman" w:eastAsia="宋体" w:cs="Times New Roman"/>
                <w:szCs w:val="21"/>
              </w:rPr>
              <w:t>（2）坚决有效惩治腐败，坚持有腐必反、有案必查，持续保持反腐败斗争高压态势；强化以案促改，实现“查处一案、警示一片、治理一域”的效果。</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rPr>
                <w:rFonts w:ascii="Times New Roman" w:hAnsi="Times New Roman"/>
                <w:kern w:val="0"/>
                <w:szCs w:val="21"/>
              </w:rPr>
            </w:pP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（3）深入开展警示教育和廉洁教育，注重发挥道德的教化作用、纪法的规范作用，打牢一体推进“三不”的思想基础。</w:t>
            </w:r>
          </w:p>
        </w:tc>
        <w:tc>
          <w:tcPr>
            <w:tcW w:w="850"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1276" w:type="dxa"/>
            <w:vMerge w:val="continue"/>
            <w:vAlign w:val="center"/>
          </w:tcPr>
          <w:p>
            <w:pPr>
              <w:spacing w:line="300" w:lineRule="exact"/>
              <w:jc w:val="center"/>
              <w:rPr>
                <w:rFonts w:ascii="Times New Roman" w:hAnsi="Times New Roman"/>
                <w:kern w:val="0"/>
                <w:szCs w:val="21"/>
              </w:rPr>
            </w:pPr>
          </w:p>
        </w:tc>
        <w:tc>
          <w:tcPr>
            <w:tcW w:w="992" w:type="dxa"/>
            <w:vMerge w:val="continue"/>
            <w:vAlign w:val="center"/>
          </w:tcPr>
          <w:p>
            <w:pPr>
              <w:spacing w:line="300" w:lineRule="exact"/>
              <w:jc w:val="center"/>
              <w:rPr>
                <w:rFonts w:ascii="Times New Roman" w:hAnsi="Times New Roman"/>
                <w:kern w:val="0"/>
                <w:szCs w:val="21"/>
              </w:rPr>
            </w:pP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p>
          <w:p>
            <w:pPr>
              <w:spacing w:line="300" w:lineRule="exact"/>
              <w:jc w:val="left"/>
              <w:rPr>
                <w:rFonts w:ascii="Times New Roman" w:hAnsi="Times New Roman"/>
                <w:b/>
                <w:kern w:val="0"/>
                <w:szCs w:val="21"/>
              </w:rPr>
            </w:pPr>
            <w:r>
              <w:rPr>
                <w:rFonts w:ascii="Times New Roman" w:hAnsi="Times New Roman"/>
                <w:b/>
                <w:kern w:val="0"/>
                <w:szCs w:val="21"/>
              </w:rPr>
              <w:t>(十一)做好统一战线和群团工作</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30</w:t>
            </w:r>
          </w:p>
        </w:tc>
        <w:tc>
          <w:tcPr>
            <w:tcW w:w="1193" w:type="dxa"/>
            <w:vAlign w:val="center"/>
          </w:tcPr>
          <w:p>
            <w:pPr>
              <w:spacing w:line="300" w:lineRule="exact"/>
              <w:jc w:val="center"/>
              <w:rPr>
                <w:rFonts w:ascii="Times New Roman" w:hAnsi="Times New Roman"/>
                <w:kern w:val="0"/>
                <w:szCs w:val="21"/>
              </w:rPr>
            </w:pPr>
            <w:r>
              <w:rPr>
                <w:rFonts w:ascii="Times New Roman" w:hAnsi="Times New Roman"/>
                <w:kern w:val="0"/>
                <w:szCs w:val="21"/>
              </w:rPr>
              <w:t>加强对统战工作的领导</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（1）学习贯彻《中国共产党统一战线工作条例》，抓好宣传解读和贯彻执行，落实统战工作“四纳入”；</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（2）落实党委领导联系党外代表人士制度，定期召开党外代表人士座谈会，加强党外知识分子思想政治引领；</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（3）完成民主党派基层组织换届，做好党外干部和党外代表人士的培养推荐工作；</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（4）推进基层统战工作规范化建设；</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（5）抵御宗教渗透和防范校园传教。</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党委统战部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各二级基层党组织</w:t>
            </w:r>
          </w:p>
        </w:tc>
        <w:tc>
          <w:tcPr>
            <w:tcW w:w="992" w:type="dxa"/>
            <w:vAlign w:val="center"/>
          </w:tcPr>
          <w:p>
            <w:pPr>
              <w:spacing w:line="300" w:lineRule="exact"/>
              <w:jc w:val="center"/>
              <w:rPr>
                <w:rFonts w:ascii="Times New Roman" w:hAnsi="Times New Roman"/>
                <w:kern w:val="0"/>
                <w:szCs w:val="21"/>
                <w:highlight w:val="yellow"/>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31</w:t>
            </w:r>
          </w:p>
        </w:tc>
        <w:tc>
          <w:tcPr>
            <w:tcW w:w="1193"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充分发挥群团作用</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（1）贯彻落实《中共中央关于加强和改进党的群团工作的意见》；团结带领教职工听党话、跟党走；强化宗旨意识，坚帮助群众办实事、解难题。</w:t>
            </w:r>
          </w:p>
          <w:p>
            <w:pPr>
              <w:spacing w:line="300" w:lineRule="exact"/>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1 \* GB3 </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①</w:t>
            </w:r>
            <w:r>
              <w:rPr>
                <w:rFonts w:ascii="Times New Roman" w:hAnsi="Times New Roman" w:eastAsia="宋体" w:cs="Times New Roman"/>
                <w:szCs w:val="21"/>
              </w:rPr>
              <w:fldChar w:fldCharType="end"/>
            </w:r>
            <w:r>
              <w:rPr>
                <w:rFonts w:ascii="Times New Roman" w:hAnsi="Times New Roman" w:eastAsia="宋体" w:cs="Times New Roman"/>
                <w:szCs w:val="21"/>
              </w:rPr>
              <w:t>全年组织1次工会干部培训学习，重点学习党史；</w:t>
            </w:r>
          </w:p>
          <w:p>
            <w:pPr>
              <w:spacing w:line="300" w:lineRule="exact"/>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GB3 </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②</w:t>
            </w:r>
            <w:r>
              <w:rPr>
                <w:rFonts w:ascii="Times New Roman" w:hAnsi="Times New Roman" w:eastAsia="宋体" w:cs="Times New Roman"/>
                <w:szCs w:val="21"/>
              </w:rPr>
              <w:fldChar w:fldCharType="end"/>
            </w:r>
            <w:r>
              <w:rPr>
                <w:rFonts w:ascii="Times New Roman" w:hAnsi="Times New Roman" w:eastAsia="宋体" w:cs="Times New Roman"/>
                <w:szCs w:val="21"/>
              </w:rPr>
              <w:t>办理好第三次教代会提案工作，尤其是教职工反映强烈的提案；</w:t>
            </w:r>
          </w:p>
          <w:p>
            <w:pPr>
              <w:spacing w:line="300" w:lineRule="exact"/>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3 \* GB3 </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③</w:t>
            </w:r>
            <w:r>
              <w:rPr>
                <w:rFonts w:ascii="Times New Roman" w:hAnsi="Times New Roman" w:eastAsia="宋体" w:cs="Times New Roman"/>
                <w:szCs w:val="21"/>
              </w:rPr>
              <w:fldChar w:fldCharType="end"/>
            </w:r>
            <w:r>
              <w:rPr>
                <w:rFonts w:ascii="Times New Roman" w:hAnsi="Times New Roman" w:eastAsia="宋体" w:cs="Times New Roman"/>
                <w:szCs w:val="21"/>
              </w:rPr>
              <w:t>关心关爱生重病和有困难的教职工，做好困难教职工慰问及大病互助补助工作；</w:t>
            </w:r>
          </w:p>
          <w:p>
            <w:pPr>
              <w:spacing w:line="300" w:lineRule="exact"/>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4 \* GB3 </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④</w:t>
            </w:r>
            <w:r>
              <w:rPr>
                <w:rFonts w:ascii="Times New Roman" w:hAnsi="Times New Roman" w:eastAsia="宋体" w:cs="Times New Roman"/>
                <w:szCs w:val="21"/>
              </w:rPr>
              <w:fldChar w:fldCharType="end"/>
            </w:r>
            <w:r>
              <w:rPr>
                <w:rFonts w:ascii="Times New Roman" w:hAnsi="Times New Roman" w:eastAsia="宋体" w:cs="Times New Roman"/>
                <w:szCs w:val="21"/>
              </w:rPr>
              <w:t>做好教职工法律和心理咨询服务及其它服务性工作。</w:t>
            </w:r>
          </w:p>
        </w:tc>
        <w:tc>
          <w:tcPr>
            <w:tcW w:w="850" w:type="dxa"/>
            <w:vMerge w:val="restart"/>
            <w:vAlign w:val="center"/>
          </w:tcPr>
          <w:p>
            <w:pPr>
              <w:spacing w:line="300" w:lineRule="exact"/>
              <w:jc w:val="center"/>
              <w:rPr>
                <w:rFonts w:ascii="Times New Roman" w:hAnsi="Times New Roman"/>
                <w:kern w:val="0"/>
                <w:szCs w:val="21"/>
              </w:rPr>
            </w:pPr>
            <w:r>
              <w:rPr>
                <w:rFonts w:ascii="Times New Roman" w:hAnsi="Times New Roman"/>
                <w:kern w:val="0"/>
                <w:szCs w:val="21"/>
              </w:rPr>
              <w:t>周兰珍</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工会</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提案办理相关部门</w:t>
            </w:r>
          </w:p>
        </w:tc>
        <w:tc>
          <w:tcPr>
            <w:tcW w:w="992" w:type="dxa"/>
            <w:vAlign w:val="center"/>
          </w:tcPr>
          <w:p>
            <w:pPr>
              <w:spacing w:line="300" w:lineRule="exact"/>
              <w:jc w:val="center"/>
              <w:rPr>
                <w:rFonts w:ascii="Times New Roman" w:hAnsi="Times New Roman"/>
                <w:kern w:val="0"/>
                <w:szCs w:val="21"/>
                <w:highlight w:val="yellow"/>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Merge w:val="continue"/>
            <w:vAlign w:val="center"/>
          </w:tcPr>
          <w:p>
            <w:pPr>
              <w:spacing w:line="300" w:lineRule="exact"/>
              <w:jc w:val="center"/>
              <w:rPr>
                <w:rFonts w:ascii="Times New Roman" w:hAnsi="Times New Roman"/>
                <w:kern w:val="0"/>
                <w:szCs w:val="21"/>
              </w:rPr>
            </w:pPr>
          </w:p>
        </w:tc>
        <w:tc>
          <w:tcPr>
            <w:tcW w:w="1193" w:type="dxa"/>
            <w:vMerge w:val="continue"/>
            <w:vAlign w:val="center"/>
          </w:tcPr>
          <w:p>
            <w:pPr>
              <w:spacing w:line="300" w:lineRule="exact"/>
              <w:jc w:val="center"/>
              <w:rPr>
                <w:rFonts w:ascii="Times New Roman" w:hAnsi="Times New Roman"/>
                <w:kern w:val="0"/>
                <w:szCs w:val="21"/>
              </w:rPr>
            </w:pPr>
          </w:p>
        </w:tc>
        <w:tc>
          <w:tcPr>
            <w:tcW w:w="4190" w:type="dxa"/>
          </w:tcPr>
          <w:p>
            <w:pPr>
              <w:spacing w:line="300" w:lineRule="exact"/>
              <w:rPr>
                <w:rFonts w:ascii="Times New Roman" w:hAnsi="Times New Roman" w:eastAsia="宋体" w:cs="Times New Roman"/>
                <w:szCs w:val="21"/>
              </w:rPr>
            </w:pPr>
            <w:r>
              <w:rPr>
                <w:rFonts w:ascii="Times New Roman" w:hAnsi="Times New Roman" w:eastAsia="宋体" w:cs="Times New Roman"/>
                <w:szCs w:val="21"/>
              </w:rPr>
              <w:t>（2）严格落实《关于新形势下推进从严治团的规定》有关要求，始终坚持党的领导，从严管好团的组织、团干部队伍和团员队伍，严明团组织纪律。对照团学改革有关要求，加强对学生会和学生社团的日常管理、指导和监督。</w:t>
            </w:r>
          </w:p>
        </w:tc>
        <w:tc>
          <w:tcPr>
            <w:tcW w:w="850" w:type="dxa"/>
            <w:vMerge w:val="continue"/>
            <w:vAlign w:val="center"/>
          </w:tcPr>
          <w:p>
            <w:pPr>
              <w:spacing w:line="300" w:lineRule="exact"/>
              <w:jc w:val="center"/>
              <w:rPr>
                <w:rFonts w:ascii="Times New Roman" w:hAnsi="Times New Roman"/>
                <w:kern w:val="0"/>
                <w:szCs w:val="21"/>
              </w:rPr>
            </w:pP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团委</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团委</w:t>
            </w:r>
          </w:p>
        </w:tc>
        <w:tc>
          <w:tcPr>
            <w:tcW w:w="992" w:type="dxa"/>
            <w:vAlign w:val="center"/>
          </w:tcPr>
          <w:p>
            <w:pPr>
              <w:spacing w:line="300" w:lineRule="exact"/>
              <w:jc w:val="center"/>
              <w:rPr>
                <w:rFonts w:ascii="Times New Roman" w:hAnsi="Times New Roman"/>
                <w:kern w:val="0"/>
                <w:szCs w:val="21"/>
                <w:highlight w:val="yellow"/>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tcPr>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成员</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个人</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成员</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个人</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领导</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班子</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成员</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个人</w:t>
            </w:r>
          </w:p>
          <w:p>
            <w:pPr>
              <w:spacing w:line="300" w:lineRule="exact"/>
              <w:jc w:val="center"/>
              <w:rPr>
                <w:rFonts w:ascii="Times New Roman" w:hAnsi="Times New Roman"/>
                <w:b/>
                <w:kern w:val="0"/>
                <w:szCs w:val="21"/>
              </w:rPr>
            </w:pPr>
          </w:p>
          <w:p>
            <w:pPr>
              <w:spacing w:line="300" w:lineRule="exact"/>
              <w:jc w:val="center"/>
              <w:rPr>
                <w:rFonts w:ascii="Times New Roman" w:hAnsi="Times New Roman"/>
                <w:b/>
                <w:kern w:val="0"/>
                <w:szCs w:val="21"/>
              </w:rPr>
            </w:pPr>
            <w:r>
              <w:rPr>
                <w:rFonts w:ascii="Times New Roman" w:hAnsi="Times New Roman"/>
                <w:b/>
                <w:kern w:val="0"/>
                <w:szCs w:val="21"/>
              </w:rPr>
              <w:t>责任</w:t>
            </w:r>
          </w:p>
          <w:p>
            <w:pPr>
              <w:spacing w:line="300" w:lineRule="exact"/>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（一）强化责任担当</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1</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书记当好“第一责任人”</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履行“第一责任人”职责，做到重要工作亲自部署、重大问题亲自过问、重点环节亲自协调、重要案件亲自督办。加强对班子成员和下级党组织主要负责人廉洁从政和履行全面从严治党责任情况的监督检查，发现问题及时提醒和纠正。每年主持召开2次党务工作会议。</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朱林生</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2</w:t>
            </w:r>
          </w:p>
        </w:tc>
        <w:tc>
          <w:tcPr>
            <w:tcW w:w="1193" w:type="dxa"/>
            <w:vAlign w:val="center"/>
          </w:tcPr>
          <w:p>
            <w:pPr>
              <w:pStyle w:val="22"/>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领导班子其他成员履行“一岗双责”</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定期向党委常委会会议报告“一岗双责”履职情况。听取分管部门、联系单位负责人落实全面从严治党责任情况汇报，将全面从严治党各项要求融入分管工作中，同谋划、同部署、同推进、同考核。</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各单位</w:t>
            </w:r>
          </w:p>
          <w:p>
            <w:pPr>
              <w:spacing w:line="300" w:lineRule="exact"/>
              <w:jc w:val="center"/>
              <w:rPr>
                <w:rFonts w:ascii="Times New Roman" w:hAnsi="Times New Roman"/>
                <w:kern w:val="0"/>
                <w:szCs w:val="21"/>
              </w:rPr>
            </w:pPr>
            <w:r>
              <w:rPr>
                <w:rFonts w:ascii="Times New Roman" w:hAnsi="Times New Roman"/>
                <w:kern w:val="0"/>
                <w:szCs w:val="21"/>
              </w:rPr>
              <w:t>各部门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（二）严格教育管理</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3</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强化政治学习教育</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（1）坚持以习近平新时代中国特色社会主义思想为指 </w:t>
            </w:r>
          </w:p>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导，深入学习贯彻党的十九大和十九届二中、三中、四 </w:t>
            </w:r>
          </w:p>
          <w:p>
            <w:pPr>
              <w:widowControl/>
              <w:jc w:val="left"/>
              <w:rPr>
                <w:rFonts w:ascii="Times New Roman" w:hAnsi="Times New Roman" w:eastAsia="宋体" w:cs="Times New Roman"/>
                <w:szCs w:val="21"/>
              </w:rPr>
            </w:pPr>
            <w:r>
              <w:rPr>
                <w:rFonts w:ascii="Times New Roman" w:hAnsi="Times New Roman" w:eastAsia="宋体" w:cs="Times New Roman"/>
                <w:szCs w:val="21"/>
              </w:rPr>
              <w:t>中、五中全会精神，学习贯彻全国教育工作会议、全国“两会”精神，认真落实省委十三届七次全会要求，聚焦“不忘初心、牢记使命”作为全体党员、干部的终身课题和对党忠诚教育。</w:t>
            </w:r>
          </w:p>
          <w:p>
            <w:pPr>
              <w:widowControl/>
              <w:jc w:val="left"/>
              <w:rPr>
                <w:rFonts w:ascii="Times New Roman" w:hAnsi="Times New Roman" w:eastAsia="宋体" w:cs="Times New Roman"/>
                <w:szCs w:val="21"/>
              </w:rPr>
            </w:pPr>
            <w:r>
              <w:rPr>
                <w:rFonts w:ascii="Times New Roman" w:hAnsi="Times New Roman" w:eastAsia="宋体" w:cs="Times New Roman"/>
                <w:szCs w:val="21"/>
              </w:rPr>
              <w:t>（2）结合工作实际和学习成果，带头讲好党课。</w:t>
            </w:r>
          </w:p>
          <w:p>
            <w:pPr>
              <w:widowControl/>
              <w:jc w:val="left"/>
              <w:rPr>
                <w:rFonts w:ascii="Times New Roman" w:hAnsi="Times New Roman" w:eastAsia="宋体" w:cs="Times New Roman"/>
                <w:szCs w:val="21"/>
              </w:rPr>
            </w:pPr>
            <w:r>
              <w:rPr>
                <w:rFonts w:ascii="Times New Roman" w:hAnsi="Times New Roman" w:eastAsia="宋体" w:cs="Times New Roman"/>
                <w:szCs w:val="21"/>
              </w:rPr>
              <w:t>（3）督促联系单位和分管部门党员、干部完成学习任务。</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4</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突出党性锻炼</w:t>
            </w:r>
          </w:p>
        </w:tc>
        <w:tc>
          <w:tcPr>
            <w:tcW w:w="4190" w:type="dxa"/>
            <w:vAlign w:val="center"/>
          </w:tcPr>
          <w:p>
            <w:pPr>
              <w:widowControl/>
              <w:jc w:val="left"/>
              <w:rPr>
                <w:rFonts w:ascii="Times New Roman" w:hAnsi="Times New Roman" w:eastAsia="宋体" w:cs="Times New Roman"/>
                <w:szCs w:val="21"/>
              </w:rPr>
            </w:pPr>
            <w:r>
              <w:rPr>
                <w:rFonts w:ascii="Times New Roman" w:hAnsi="Times New Roman" w:eastAsia="宋体" w:cs="Times New Roman"/>
                <w:szCs w:val="21"/>
              </w:rPr>
              <w:t>贯彻落实双重组织生活制度、谈心谈话制度等，带头开展批评与自我批评，将落实全面从严治党情况作为年度民主生活会对照检查内容。</w:t>
            </w:r>
          </w:p>
          <w:p>
            <w:pPr>
              <w:widowControl/>
              <w:jc w:val="left"/>
              <w:rPr>
                <w:rFonts w:hint="eastAsia" w:ascii="Times New Roman" w:hAnsi="Times New Roman" w:eastAsia="宋体" w:cs="Times New Roman"/>
                <w:szCs w:val="21"/>
                <w:lang w:eastAsia="zh-CN"/>
              </w:rPr>
            </w:pP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5</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强化组织观念</w:t>
            </w:r>
          </w:p>
        </w:tc>
        <w:tc>
          <w:tcPr>
            <w:tcW w:w="4190"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积极贯彻落实《领导干部报告个人有关事项规定》，工作中的重大问题和个人有关事项按规定按程序及时向组织请示报告，自觉接受组织监督。</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党委组织部</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tcPr>
          <w:p>
            <w:pPr>
              <w:spacing w:line="300" w:lineRule="exact"/>
              <w:jc w:val="center"/>
              <w:rPr>
                <w:rFonts w:ascii="Times New Roman" w:hAnsi="Times New Roman"/>
                <w:b/>
                <w:kern w:val="0"/>
                <w:szCs w:val="21"/>
              </w:rPr>
            </w:pPr>
          </w:p>
        </w:tc>
        <w:tc>
          <w:tcPr>
            <w:tcW w:w="927" w:type="dxa"/>
            <w:vAlign w:val="center"/>
          </w:tcPr>
          <w:p>
            <w:pPr>
              <w:spacing w:line="300" w:lineRule="exact"/>
              <w:jc w:val="left"/>
              <w:rPr>
                <w:rFonts w:ascii="Times New Roman" w:hAnsi="Times New Roman"/>
                <w:b/>
                <w:kern w:val="0"/>
                <w:szCs w:val="21"/>
              </w:rPr>
            </w:pPr>
            <w:r>
              <w:rPr>
                <w:rFonts w:ascii="Times New Roman" w:hAnsi="Times New Roman"/>
                <w:b/>
                <w:kern w:val="0"/>
                <w:szCs w:val="21"/>
              </w:rPr>
              <w:t>（三）加强督促检查</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6</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做到敢抓敢管</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督促检查分管部门、分管领域党员干部廉洁从政和履行全面从严治党责任情况。对于发现的问题，践行《综合运用监督执纪“四种形态”的实施办法》，及时提醒、纠正。每年带队督查不少于1次，并及时反馈督查情况。</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纪委办公室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（四）密切联系师生</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7</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深入师生一线</w:t>
            </w: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加强调查研究，经常深入教学和科研一线、深入学生宿舍和食堂等实地考察，了解校情、研究问题、指导工作；落实校领导联系二级学院制度、联系民主党派、领导干部听课制度等。按照《2021年高校思想政治工作重点任务清单》要求，校党委书记、校长每学期至少给学生讲授4个课时思政课，校领导班子其他成员每学期至少给学生讲授2个课时思政课。每学期听课不少于2节，其中学校党委、纪委主要负责同志和分管负责同志每学期到思想政治理论课教学课堂听课2次以上，学校党委领导班子其他成员每学期到思想政治理论课教学课堂听课1次以上。每学期到分管部门或联系单位进行专题调研不少于1次。领导干部每年应与分管部门或联系单位班子成员谈心不少于2次。每年联系学校高级知识分子不少于2次。每年联系党外代表人士不少于2次，参加其所在民族党派或统战团体活动不少于1次。</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p>
            <w:pPr>
              <w:spacing w:line="300" w:lineRule="exact"/>
              <w:jc w:val="center"/>
              <w:rPr>
                <w:rFonts w:ascii="Times New Roman" w:hAnsi="Times New Roman"/>
                <w:kern w:val="0"/>
                <w:szCs w:val="21"/>
              </w:rPr>
            </w:pPr>
          </w:p>
        </w:tc>
        <w:tc>
          <w:tcPr>
            <w:tcW w:w="1276" w:type="dxa"/>
            <w:vAlign w:val="center"/>
          </w:tcPr>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党委组织部</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党委宣传部</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党委统战部</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纪委办公室</w:t>
            </w:r>
          </w:p>
          <w:p>
            <w:pPr>
              <w:pStyle w:val="22"/>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党委学生工作部</w:t>
            </w:r>
          </w:p>
          <w:p>
            <w:pPr>
              <w:spacing w:line="300" w:lineRule="exact"/>
              <w:jc w:val="center"/>
              <w:rPr>
                <w:rFonts w:ascii="Times New Roman" w:hAnsi="Times New Roman"/>
                <w:kern w:val="0"/>
                <w:szCs w:val="21"/>
              </w:rPr>
            </w:pPr>
            <w:r>
              <w:rPr>
                <w:rFonts w:ascii="Times New Roman" w:hAnsi="Times New Roman"/>
                <w:szCs w:val="21"/>
              </w:rPr>
              <w:t>教学质量监控与评估处</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8</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坚持接访下访制度</w:t>
            </w:r>
          </w:p>
        </w:tc>
        <w:tc>
          <w:tcPr>
            <w:tcW w:w="4190" w:type="dxa"/>
            <w:vAlign w:val="center"/>
          </w:tcPr>
          <w:p>
            <w:pPr>
              <w:pStyle w:val="22"/>
              <w:jc w:val="both"/>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认真落实校领导接待日制度，多渠道了解师生诉求，协调解决师生反映强烈的突出问题。</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restart"/>
            <w:vAlign w:val="center"/>
          </w:tcPr>
          <w:p>
            <w:pPr>
              <w:spacing w:line="300" w:lineRule="exact"/>
              <w:jc w:val="left"/>
              <w:rPr>
                <w:rFonts w:ascii="Times New Roman" w:hAnsi="Times New Roman"/>
                <w:b/>
                <w:kern w:val="0"/>
                <w:szCs w:val="21"/>
              </w:rPr>
            </w:pPr>
            <w:r>
              <w:rPr>
                <w:rFonts w:ascii="Times New Roman" w:hAnsi="Times New Roman"/>
                <w:b/>
                <w:kern w:val="0"/>
                <w:szCs w:val="21"/>
              </w:rPr>
              <w:t>（五）带头执行规定</w:t>
            </w: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9</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发挥带头表率作用</w:t>
            </w:r>
          </w:p>
        </w:tc>
        <w:tc>
          <w:tcPr>
            <w:tcW w:w="4190" w:type="dxa"/>
            <w:vAlign w:val="center"/>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模范遵守党纪国法，带头践行“三严三实”，带头践行社会主义核心价值观，带头执行廉洁自律准则，带头落实中央八项规定精神及省委《具体办法》。</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69" w:type="dxa"/>
            <w:vMerge w:val="continue"/>
          </w:tcPr>
          <w:p>
            <w:pPr>
              <w:spacing w:line="300" w:lineRule="exact"/>
              <w:jc w:val="center"/>
              <w:rPr>
                <w:rFonts w:ascii="Times New Roman" w:hAnsi="Times New Roman"/>
                <w:b/>
                <w:kern w:val="0"/>
                <w:szCs w:val="21"/>
              </w:rPr>
            </w:pPr>
          </w:p>
        </w:tc>
        <w:tc>
          <w:tcPr>
            <w:tcW w:w="927" w:type="dxa"/>
            <w:vMerge w:val="continue"/>
            <w:vAlign w:val="center"/>
          </w:tcPr>
          <w:p>
            <w:pPr>
              <w:spacing w:line="300" w:lineRule="exact"/>
              <w:jc w:val="left"/>
              <w:rPr>
                <w:rFonts w:ascii="Times New Roman" w:hAnsi="Times New Roman"/>
                <w:b/>
                <w:kern w:val="0"/>
                <w:szCs w:val="21"/>
              </w:rPr>
            </w:pPr>
          </w:p>
        </w:tc>
        <w:tc>
          <w:tcPr>
            <w:tcW w:w="624" w:type="dxa"/>
            <w:vAlign w:val="center"/>
          </w:tcPr>
          <w:p>
            <w:pPr>
              <w:spacing w:line="300" w:lineRule="exact"/>
              <w:jc w:val="center"/>
              <w:rPr>
                <w:rFonts w:ascii="Times New Roman" w:hAnsi="Times New Roman"/>
                <w:kern w:val="0"/>
                <w:szCs w:val="21"/>
              </w:rPr>
            </w:pPr>
            <w:r>
              <w:rPr>
                <w:rFonts w:ascii="Times New Roman" w:hAnsi="Times New Roman"/>
                <w:kern w:val="0"/>
                <w:szCs w:val="21"/>
              </w:rPr>
              <w:t>10</w:t>
            </w:r>
          </w:p>
        </w:tc>
        <w:tc>
          <w:tcPr>
            <w:tcW w:w="1193" w:type="dxa"/>
            <w:vAlign w:val="center"/>
          </w:tcPr>
          <w:p>
            <w:pPr>
              <w:spacing w:line="300" w:lineRule="exact"/>
              <w:jc w:val="left"/>
              <w:rPr>
                <w:rFonts w:ascii="Times New Roman" w:hAnsi="Times New Roman"/>
                <w:kern w:val="0"/>
                <w:szCs w:val="21"/>
              </w:rPr>
            </w:pPr>
            <w:r>
              <w:rPr>
                <w:rFonts w:ascii="Times New Roman" w:hAnsi="Times New Roman"/>
                <w:kern w:val="0"/>
                <w:szCs w:val="21"/>
              </w:rPr>
              <w:t>加强自我管理</w:t>
            </w:r>
          </w:p>
        </w:tc>
        <w:tc>
          <w:tcPr>
            <w:tcW w:w="4190" w:type="dxa"/>
            <w:vAlign w:val="center"/>
          </w:tcPr>
          <w:p>
            <w:pPr>
              <w:pStyle w:val="22"/>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强化自我教育、自我管理、自我完善，做到知行合一</w:t>
            </w:r>
            <w:r>
              <w:rPr>
                <w:rFonts w:ascii="Times New Roman" w:hAnsi="Times New Roman" w:eastAsia="宋体" w:cs="Times New Roman"/>
                <w:kern w:val="2"/>
                <w:szCs w:val="21"/>
              </w:rPr>
              <w:t>；注重家庭家教家风，从严从紧教育管理好配偶、注重家庭家教家风，教育管理好亲属和身边工作人员，自觉接受各方面监督。</w:t>
            </w:r>
          </w:p>
        </w:tc>
        <w:tc>
          <w:tcPr>
            <w:tcW w:w="850" w:type="dxa"/>
            <w:vAlign w:val="center"/>
          </w:tcPr>
          <w:p>
            <w:pPr>
              <w:spacing w:line="300" w:lineRule="exact"/>
              <w:jc w:val="center"/>
              <w:rPr>
                <w:rFonts w:ascii="Times New Roman" w:hAnsi="Times New Roman"/>
                <w:kern w:val="0"/>
                <w:szCs w:val="21"/>
              </w:rPr>
            </w:pPr>
            <w:r>
              <w:rPr>
                <w:rFonts w:ascii="Times New Roman" w:hAnsi="Times New Roman"/>
                <w:kern w:val="0"/>
                <w:szCs w:val="21"/>
              </w:rPr>
              <w:t>领导班子全体成员</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1276" w:type="dxa"/>
            <w:vAlign w:val="center"/>
          </w:tcPr>
          <w:p>
            <w:pPr>
              <w:spacing w:line="300" w:lineRule="exact"/>
              <w:jc w:val="center"/>
              <w:rPr>
                <w:rFonts w:ascii="Times New Roman" w:hAnsi="Times New Roman"/>
                <w:kern w:val="0"/>
                <w:szCs w:val="21"/>
              </w:rPr>
            </w:pPr>
            <w:r>
              <w:rPr>
                <w:rFonts w:ascii="Times New Roman" w:hAnsi="Times New Roman"/>
                <w:kern w:val="0"/>
                <w:szCs w:val="21"/>
              </w:rPr>
              <w:t>党委办公室</w:t>
            </w:r>
          </w:p>
        </w:tc>
        <w:tc>
          <w:tcPr>
            <w:tcW w:w="992" w:type="dxa"/>
            <w:vAlign w:val="center"/>
          </w:tcPr>
          <w:p>
            <w:pPr>
              <w:spacing w:line="300" w:lineRule="exact"/>
              <w:jc w:val="center"/>
              <w:rPr>
                <w:rFonts w:ascii="Times New Roman" w:hAnsi="Times New Roman"/>
                <w:kern w:val="0"/>
                <w:szCs w:val="21"/>
              </w:rPr>
            </w:pPr>
            <w:r>
              <w:rPr>
                <w:rFonts w:ascii="Times New Roman" w:hAnsi="Times New Roman"/>
                <w:kern w:val="0"/>
                <w:szCs w:val="21"/>
              </w:rPr>
              <w:t>2021.12</w:t>
            </w:r>
          </w:p>
        </w:tc>
        <w:tc>
          <w:tcPr>
            <w:tcW w:w="3771" w:type="dxa"/>
          </w:tcPr>
          <w:p>
            <w:pPr>
              <w:spacing w:line="300" w:lineRule="exact"/>
              <w:jc w:val="center"/>
              <w:rPr>
                <w:rFonts w:ascii="Times New Roman" w:hAnsi="Times New Roman"/>
                <w:kern w:val="0"/>
                <w:szCs w:val="21"/>
              </w:rPr>
            </w:pPr>
          </w:p>
        </w:tc>
      </w:tr>
    </w:tbl>
    <w:p>
      <w:pPr>
        <w:spacing w:line="600" w:lineRule="exact"/>
        <w:jc w:val="center"/>
      </w:pPr>
    </w:p>
    <w:sectPr>
      <w:footerReference r:id="rId3" w:type="default"/>
      <w:pgSz w:w="16838" w:h="11906" w:orient="landscape"/>
      <w:pgMar w:top="1418"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107063"/>
      <w:docPartObj>
        <w:docPartGallery w:val="AutoText"/>
      </w:docPartObj>
    </w:sdtPr>
    <w:sdtContent>
      <w:sdt>
        <w:sdtPr>
          <w:id w:val="1728636285"/>
          <w:docPartObj>
            <w:docPartGallery w:val="AutoText"/>
          </w:docPartObj>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8B5B0"/>
    <w:multiLevelType w:val="singleLevel"/>
    <w:tmpl w:val="6478B5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EC0"/>
    <w:rsid w:val="000016B7"/>
    <w:rsid w:val="000031E5"/>
    <w:rsid w:val="00003C54"/>
    <w:rsid w:val="00010F47"/>
    <w:rsid w:val="0001622B"/>
    <w:rsid w:val="00020A2C"/>
    <w:rsid w:val="00026309"/>
    <w:rsid w:val="00037474"/>
    <w:rsid w:val="0005231D"/>
    <w:rsid w:val="000542D3"/>
    <w:rsid w:val="0005539B"/>
    <w:rsid w:val="000562E2"/>
    <w:rsid w:val="000564EE"/>
    <w:rsid w:val="00085422"/>
    <w:rsid w:val="000951ED"/>
    <w:rsid w:val="000A3E71"/>
    <w:rsid w:val="000C24EB"/>
    <w:rsid w:val="000D1C12"/>
    <w:rsid w:val="000E13AC"/>
    <w:rsid w:val="000E608A"/>
    <w:rsid w:val="000E7ACF"/>
    <w:rsid w:val="000F27F9"/>
    <w:rsid w:val="000F3756"/>
    <w:rsid w:val="000F4E41"/>
    <w:rsid w:val="001006A2"/>
    <w:rsid w:val="001017B3"/>
    <w:rsid w:val="00104913"/>
    <w:rsid w:val="00110F2B"/>
    <w:rsid w:val="00120149"/>
    <w:rsid w:val="00122E88"/>
    <w:rsid w:val="00122EC5"/>
    <w:rsid w:val="0012674F"/>
    <w:rsid w:val="00130A97"/>
    <w:rsid w:val="00133AFC"/>
    <w:rsid w:val="0013588B"/>
    <w:rsid w:val="001421FA"/>
    <w:rsid w:val="0015289D"/>
    <w:rsid w:val="00153974"/>
    <w:rsid w:val="00160220"/>
    <w:rsid w:val="00163BED"/>
    <w:rsid w:val="00165EA7"/>
    <w:rsid w:val="00170148"/>
    <w:rsid w:val="00171787"/>
    <w:rsid w:val="001742E3"/>
    <w:rsid w:val="00176BFA"/>
    <w:rsid w:val="0018060A"/>
    <w:rsid w:val="00184404"/>
    <w:rsid w:val="001A20D5"/>
    <w:rsid w:val="001A5770"/>
    <w:rsid w:val="001D2A89"/>
    <w:rsid w:val="001D3837"/>
    <w:rsid w:val="001D64EF"/>
    <w:rsid w:val="001D7A29"/>
    <w:rsid w:val="001E0EDF"/>
    <w:rsid w:val="001E3BC6"/>
    <w:rsid w:val="001E41EE"/>
    <w:rsid w:val="001E6975"/>
    <w:rsid w:val="001F734F"/>
    <w:rsid w:val="001F7AEC"/>
    <w:rsid w:val="00201532"/>
    <w:rsid w:val="00204D6B"/>
    <w:rsid w:val="0022353C"/>
    <w:rsid w:val="00225C57"/>
    <w:rsid w:val="00227B2D"/>
    <w:rsid w:val="0023712F"/>
    <w:rsid w:val="002500DA"/>
    <w:rsid w:val="00265C75"/>
    <w:rsid w:val="00282354"/>
    <w:rsid w:val="002830B3"/>
    <w:rsid w:val="002916CE"/>
    <w:rsid w:val="002A0F94"/>
    <w:rsid w:val="002A5618"/>
    <w:rsid w:val="002B1B45"/>
    <w:rsid w:val="002B4580"/>
    <w:rsid w:val="002B64DF"/>
    <w:rsid w:val="002B69D9"/>
    <w:rsid w:val="002C3838"/>
    <w:rsid w:val="002C5C25"/>
    <w:rsid w:val="002D01DC"/>
    <w:rsid w:val="002D1504"/>
    <w:rsid w:val="002E02C6"/>
    <w:rsid w:val="002F4E83"/>
    <w:rsid w:val="002F51B3"/>
    <w:rsid w:val="002F7A33"/>
    <w:rsid w:val="00301A0B"/>
    <w:rsid w:val="003040E2"/>
    <w:rsid w:val="00320299"/>
    <w:rsid w:val="00323CC6"/>
    <w:rsid w:val="00333505"/>
    <w:rsid w:val="00340551"/>
    <w:rsid w:val="00342FBB"/>
    <w:rsid w:val="003501D1"/>
    <w:rsid w:val="00363BAA"/>
    <w:rsid w:val="00371BEA"/>
    <w:rsid w:val="00372A64"/>
    <w:rsid w:val="0038022E"/>
    <w:rsid w:val="00382E95"/>
    <w:rsid w:val="00383D76"/>
    <w:rsid w:val="003853ED"/>
    <w:rsid w:val="00385667"/>
    <w:rsid w:val="00386092"/>
    <w:rsid w:val="00390523"/>
    <w:rsid w:val="00393C2B"/>
    <w:rsid w:val="003A4E9E"/>
    <w:rsid w:val="003B2E49"/>
    <w:rsid w:val="003B69CC"/>
    <w:rsid w:val="003C3467"/>
    <w:rsid w:val="003C4F28"/>
    <w:rsid w:val="003C5A80"/>
    <w:rsid w:val="003E3A96"/>
    <w:rsid w:val="003E44C3"/>
    <w:rsid w:val="003F11D4"/>
    <w:rsid w:val="003F7BB4"/>
    <w:rsid w:val="00402659"/>
    <w:rsid w:val="00402CAA"/>
    <w:rsid w:val="004071DF"/>
    <w:rsid w:val="00415AE5"/>
    <w:rsid w:val="0043081B"/>
    <w:rsid w:val="00442A6E"/>
    <w:rsid w:val="00452DBE"/>
    <w:rsid w:val="00460A61"/>
    <w:rsid w:val="004679B0"/>
    <w:rsid w:val="00477397"/>
    <w:rsid w:val="004802A6"/>
    <w:rsid w:val="00495AA6"/>
    <w:rsid w:val="004A6E61"/>
    <w:rsid w:val="004E210B"/>
    <w:rsid w:val="004E4BDC"/>
    <w:rsid w:val="004E4BE3"/>
    <w:rsid w:val="004F40A7"/>
    <w:rsid w:val="00502225"/>
    <w:rsid w:val="00511EC2"/>
    <w:rsid w:val="00515560"/>
    <w:rsid w:val="00523044"/>
    <w:rsid w:val="00536BFC"/>
    <w:rsid w:val="0055068F"/>
    <w:rsid w:val="00561B68"/>
    <w:rsid w:val="005751CA"/>
    <w:rsid w:val="005764E6"/>
    <w:rsid w:val="0058353C"/>
    <w:rsid w:val="0059723C"/>
    <w:rsid w:val="005A329F"/>
    <w:rsid w:val="0061180E"/>
    <w:rsid w:val="00612EE1"/>
    <w:rsid w:val="0062130F"/>
    <w:rsid w:val="0062254F"/>
    <w:rsid w:val="0062715F"/>
    <w:rsid w:val="00633404"/>
    <w:rsid w:val="00633EED"/>
    <w:rsid w:val="006401A7"/>
    <w:rsid w:val="00642056"/>
    <w:rsid w:val="00646D76"/>
    <w:rsid w:val="00652DC4"/>
    <w:rsid w:val="0065499E"/>
    <w:rsid w:val="00654F30"/>
    <w:rsid w:val="00665C84"/>
    <w:rsid w:val="00681281"/>
    <w:rsid w:val="006845AA"/>
    <w:rsid w:val="0068673E"/>
    <w:rsid w:val="00687331"/>
    <w:rsid w:val="00696AC8"/>
    <w:rsid w:val="00696E85"/>
    <w:rsid w:val="006A0DD8"/>
    <w:rsid w:val="006A4758"/>
    <w:rsid w:val="006A55F3"/>
    <w:rsid w:val="006A78A1"/>
    <w:rsid w:val="006B5762"/>
    <w:rsid w:val="006C7122"/>
    <w:rsid w:val="006D537E"/>
    <w:rsid w:val="006E10FE"/>
    <w:rsid w:val="006E3432"/>
    <w:rsid w:val="006E4387"/>
    <w:rsid w:val="006E7906"/>
    <w:rsid w:val="006F2281"/>
    <w:rsid w:val="006F621E"/>
    <w:rsid w:val="007013E8"/>
    <w:rsid w:val="00701C05"/>
    <w:rsid w:val="0070651F"/>
    <w:rsid w:val="00710535"/>
    <w:rsid w:val="00710E6B"/>
    <w:rsid w:val="007214D0"/>
    <w:rsid w:val="00733F80"/>
    <w:rsid w:val="00741040"/>
    <w:rsid w:val="00752127"/>
    <w:rsid w:val="00770802"/>
    <w:rsid w:val="00772B5D"/>
    <w:rsid w:val="0077388F"/>
    <w:rsid w:val="007755BE"/>
    <w:rsid w:val="00792945"/>
    <w:rsid w:val="007A2BC0"/>
    <w:rsid w:val="007A75C5"/>
    <w:rsid w:val="007B0EA2"/>
    <w:rsid w:val="007C1FD7"/>
    <w:rsid w:val="007C5BDA"/>
    <w:rsid w:val="007C67F2"/>
    <w:rsid w:val="007D3E7C"/>
    <w:rsid w:val="007E6D86"/>
    <w:rsid w:val="007F10E6"/>
    <w:rsid w:val="007F703D"/>
    <w:rsid w:val="00812066"/>
    <w:rsid w:val="008147F2"/>
    <w:rsid w:val="0081545D"/>
    <w:rsid w:val="0082521E"/>
    <w:rsid w:val="00831E3E"/>
    <w:rsid w:val="00841D53"/>
    <w:rsid w:val="00845165"/>
    <w:rsid w:val="008465AC"/>
    <w:rsid w:val="008569E2"/>
    <w:rsid w:val="00860F1E"/>
    <w:rsid w:val="008649FA"/>
    <w:rsid w:val="00875415"/>
    <w:rsid w:val="0089170B"/>
    <w:rsid w:val="00893206"/>
    <w:rsid w:val="00893B07"/>
    <w:rsid w:val="008A47AB"/>
    <w:rsid w:val="008A4B42"/>
    <w:rsid w:val="008A4B82"/>
    <w:rsid w:val="008A554A"/>
    <w:rsid w:val="008A602F"/>
    <w:rsid w:val="008B203A"/>
    <w:rsid w:val="008C0B86"/>
    <w:rsid w:val="008C4DB4"/>
    <w:rsid w:val="008C6296"/>
    <w:rsid w:val="008D684F"/>
    <w:rsid w:val="008E0B23"/>
    <w:rsid w:val="008E4F24"/>
    <w:rsid w:val="008F4DE6"/>
    <w:rsid w:val="00910766"/>
    <w:rsid w:val="00920AB2"/>
    <w:rsid w:val="00924CAB"/>
    <w:rsid w:val="00932AC2"/>
    <w:rsid w:val="009539A1"/>
    <w:rsid w:val="00976E2D"/>
    <w:rsid w:val="009817F6"/>
    <w:rsid w:val="009852D0"/>
    <w:rsid w:val="00997848"/>
    <w:rsid w:val="009B22E3"/>
    <w:rsid w:val="009B4CB4"/>
    <w:rsid w:val="009B6234"/>
    <w:rsid w:val="009C3D0F"/>
    <w:rsid w:val="009D1744"/>
    <w:rsid w:val="009D2D08"/>
    <w:rsid w:val="009E143D"/>
    <w:rsid w:val="009E39EA"/>
    <w:rsid w:val="00A07EC0"/>
    <w:rsid w:val="00A12557"/>
    <w:rsid w:val="00A24A63"/>
    <w:rsid w:val="00A31AE8"/>
    <w:rsid w:val="00A40E65"/>
    <w:rsid w:val="00A550EF"/>
    <w:rsid w:val="00A60472"/>
    <w:rsid w:val="00A62054"/>
    <w:rsid w:val="00A62DD9"/>
    <w:rsid w:val="00A663DE"/>
    <w:rsid w:val="00A74704"/>
    <w:rsid w:val="00A76285"/>
    <w:rsid w:val="00A76F8C"/>
    <w:rsid w:val="00A77878"/>
    <w:rsid w:val="00A81142"/>
    <w:rsid w:val="00A93D2F"/>
    <w:rsid w:val="00AA2F27"/>
    <w:rsid w:val="00AC0459"/>
    <w:rsid w:val="00AC5E45"/>
    <w:rsid w:val="00AC602C"/>
    <w:rsid w:val="00AF3C23"/>
    <w:rsid w:val="00B07C86"/>
    <w:rsid w:val="00B10983"/>
    <w:rsid w:val="00B12DE2"/>
    <w:rsid w:val="00B1399E"/>
    <w:rsid w:val="00B13B53"/>
    <w:rsid w:val="00B22D4B"/>
    <w:rsid w:val="00B3334F"/>
    <w:rsid w:val="00B3682E"/>
    <w:rsid w:val="00B535C2"/>
    <w:rsid w:val="00B54670"/>
    <w:rsid w:val="00B74D6F"/>
    <w:rsid w:val="00B817F5"/>
    <w:rsid w:val="00B95EF0"/>
    <w:rsid w:val="00B9772A"/>
    <w:rsid w:val="00BA483F"/>
    <w:rsid w:val="00BB0A8F"/>
    <w:rsid w:val="00BB5BFE"/>
    <w:rsid w:val="00BC114A"/>
    <w:rsid w:val="00BC61F5"/>
    <w:rsid w:val="00BC6DD1"/>
    <w:rsid w:val="00BF560E"/>
    <w:rsid w:val="00BF7207"/>
    <w:rsid w:val="00BF738A"/>
    <w:rsid w:val="00C0241B"/>
    <w:rsid w:val="00C260B1"/>
    <w:rsid w:val="00C32E2A"/>
    <w:rsid w:val="00C45798"/>
    <w:rsid w:val="00C55424"/>
    <w:rsid w:val="00C71114"/>
    <w:rsid w:val="00C77348"/>
    <w:rsid w:val="00C87F53"/>
    <w:rsid w:val="00C937AA"/>
    <w:rsid w:val="00C96AE5"/>
    <w:rsid w:val="00CB1772"/>
    <w:rsid w:val="00CB2624"/>
    <w:rsid w:val="00CB2829"/>
    <w:rsid w:val="00CC1768"/>
    <w:rsid w:val="00CC2B75"/>
    <w:rsid w:val="00CC5AF0"/>
    <w:rsid w:val="00CC724E"/>
    <w:rsid w:val="00CD0A00"/>
    <w:rsid w:val="00CD1AF7"/>
    <w:rsid w:val="00CE57FE"/>
    <w:rsid w:val="00CE584E"/>
    <w:rsid w:val="00CE6EF0"/>
    <w:rsid w:val="00CE7FA4"/>
    <w:rsid w:val="00CF1563"/>
    <w:rsid w:val="00CF3580"/>
    <w:rsid w:val="00CF48F1"/>
    <w:rsid w:val="00CF6DFA"/>
    <w:rsid w:val="00D14A57"/>
    <w:rsid w:val="00D15B8A"/>
    <w:rsid w:val="00D15BFB"/>
    <w:rsid w:val="00D20A76"/>
    <w:rsid w:val="00D33D16"/>
    <w:rsid w:val="00D44BB0"/>
    <w:rsid w:val="00D5439B"/>
    <w:rsid w:val="00D61202"/>
    <w:rsid w:val="00D66B23"/>
    <w:rsid w:val="00D70E91"/>
    <w:rsid w:val="00D805CF"/>
    <w:rsid w:val="00D810FB"/>
    <w:rsid w:val="00D9011C"/>
    <w:rsid w:val="00D9083D"/>
    <w:rsid w:val="00D90FA3"/>
    <w:rsid w:val="00D91647"/>
    <w:rsid w:val="00D96E15"/>
    <w:rsid w:val="00D96FEB"/>
    <w:rsid w:val="00D9710C"/>
    <w:rsid w:val="00DB4B5E"/>
    <w:rsid w:val="00DC5E61"/>
    <w:rsid w:val="00DC6C65"/>
    <w:rsid w:val="00DD1CE7"/>
    <w:rsid w:val="00DD221A"/>
    <w:rsid w:val="00DE4820"/>
    <w:rsid w:val="00DE5105"/>
    <w:rsid w:val="00DE70EA"/>
    <w:rsid w:val="00DF034E"/>
    <w:rsid w:val="00DF4247"/>
    <w:rsid w:val="00E023F3"/>
    <w:rsid w:val="00E126E9"/>
    <w:rsid w:val="00E21BA7"/>
    <w:rsid w:val="00E23D02"/>
    <w:rsid w:val="00E30FF6"/>
    <w:rsid w:val="00E319A6"/>
    <w:rsid w:val="00E368CD"/>
    <w:rsid w:val="00E50EF6"/>
    <w:rsid w:val="00E5235D"/>
    <w:rsid w:val="00E53388"/>
    <w:rsid w:val="00E604A3"/>
    <w:rsid w:val="00E64094"/>
    <w:rsid w:val="00E66D84"/>
    <w:rsid w:val="00E674A4"/>
    <w:rsid w:val="00E86089"/>
    <w:rsid w:val="00E87E94"/>
    <w:rsid w:val="00E979D1"/>
    <w:rsid w:val="00E97DE0"/>
    <w:rsid w:val="00EA19C2"/>
    <w:rsid w:val="00EA434B"/>
    <w:rsid w:val="00EB094E"/>
    <w:rsid w:val="00EB162F"/>
    <w:rsid w:val="00EB5A16"/>
    <w:rsid w:val="00EB635C"/>
    <w:rsid w:val="00EC06F2"/>
    <w:rsid w:val="00ED5DD3"/>
    <w:rsid w:val="00ED7D62"/>
    <w:rsid w:val="00EE001E"/>
    <w:rsid w:val="00EE68FC"/>
    <w:rsid w:val="00EF029D"/>
    <w:rsid w:val="00F03872"/>
    <w:rsid w:val="00F101D3"/>
    <w:rsid w:val="00F113E2"/>
    <w:rsid w:val="00F11ECA"/>
    <w:rsid w:val="00F12233"/>
    <w:rsid w:val="00F141BB"/>
    <w:rsid w:val="00F30E92"/>
    <w:rsid w:val="00F32B8B"/>
    <w:rsid w:val="00F427C3"/>
    <w:rsid w:val="00F43D55"/>
    <w:rsid w:val="00F46AB5"/>
    <w:rsid w:val="00F56481"/>
    <w:rsid w:val="00F722EE"/>
    <w:rsid w:val="00F93A61"/>
    <w:rsid w:val="00F96A78"/>
    <w:rsid w:val="00FA1792"/>
    <w:rsid w:val="00FB37E6"/>
    <w:rsid w:val="00FB3CD1"/>
    <w:rsid w:val="00FB4AF3"/>
    <w:rsid w:val="00FB5D88"/>
    <w:rsid w:val="00FB637E"/>
    <w:rsid w:val="00FB7E4C"/>
    <w:rsid w:val="00FC0278"/>
    <w:rsid w:val="00FC035E"/>
    <w:rsid w:val="00FC7368"/>
    <w:rsid w:val="00FD1258"/>
    <w:rsid w:val="00FD3199"/>
    <w:rsid w:val="00FE09E2"/>
    <w:rsid w:val="00FE2E44"/>
    <w:rsid w:val="5F3574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0"/>
    <w:rPr>
      <w:rFonts w:ascii="宋体" w:hAnsi="Courier New" w:eastAsia="宋体" w:cs="Times New Roman"/>
      <w:szCs w:val="21"/>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7"/>
    <w:unhideWhenUsed/>
    <w:uiPriority w:val="0"/>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8"/>
    <w:unhideWhenUsed/>
    <w:qFormat/>
    <w:uiPriority w:val="0"/>
    <w:pPr>
      <w:spacing w:after="120" w:line="480" w:lineRule="auto"/>
    </w:pPr>
    <w:rPr>
      <w:szCs w:val="24"/>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uiPriority w:val="9"/>
    <w:rPr>
      <w:rFonts w:ascii="宋体" w:hAnsi="宋体" w:eastAsia="宋体" w:cs="宋体"/>
      <w:b/>
      <w:bCs/>
      <w:kern w:val="36"/>
      <w:sz w:val="48"/>
      <w:szCs w:val="48"/>
    </w:rPr>
  </w:style>
  <w:style w:type="character" w:customStyle="1" w:styleId="14">
    <w:name w:val="页眉 字符"/>
    <w:basedOn w:val="12"/>
    <w:link w:val="7"/>
    <w:uiPriority w:val="99"/>
    <w:rPr>
      <w:sz w:val="18"/>
      <w:szCs w:val="18"/>
    </w:rPr>
  </w:style>
  <w:style w:type="character" w:customStyle="1" w:styleId="15">
    <w:name w:val="页脚 字符"/>
    <w:basedOn w:val="12"/>
    <w:link w:val="6"/>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2"/>
    <w:link w:val="5"/>
    <w:qFormat/>
    <w:uiPriority w:val="0"/>
    <w:rPr>
      <w:sz w:val="18"/>
      <w:szCs w:val="18"/>
    </w:rPr>
  </w:style>
  <w:style w:type="character" w:customStyle="1" w:styleId="18">
    <w:name w:val="正文文本 2 字符"/>
    <w:link w:val="8"/>
    <w:qFormat/>
    <w:uiPriority w:val="99"/>
    <w:rPr>
      <w:szCs w:val="24"/>
    </w:rPr>
  </w:style>
  <w:style w:type="character" w:customStyle="1" w:styleId="19">
    <w:name w:val="正文文本 2 Char1"/>
    <w:basedOn w:val="12"/>
    <w:semiHidden/>
    <w:qFormat/>
    <w:uiPriority w:val="99"/>
  </w:style>
  <w:style w:type="character" w:customStyle="1" w:styleId="20">
    <w:name w:val="纯文本 字符"/>
    <w:basedOn w:val="12"/>
    <w:link w:val="3"/>
    <w:qFormat/>
    <w:uiPriority w:val="99"/>
    <w:rPr>
      <w:rFonts w:ascii="宋体" w:hAnsi="Courier New" w:eastAsia="宋体" w:cs="Times New Roman"/>
      <w:szCs w:val="21"/>
    </w:rPr>
  </w:style>
  <w:style w:type="character" w:customStyle="1" w:styleId="21">
    <w:name w:val="日期 字符"/>
    <w:basedOn w:val="12"/>
    <w:link w:val="4"/>
    <w:semiHidden/>
    <w:qFormat/>
    <w:uiPriority w:val="99"/>
  </w:style>
  <w:style w:type="paragraph" w:customStyle="1" w:styleId="22">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23">
    <w:name w:val="批注框文本 字符1"/>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7A56D-F17C-4FF3-BEB5-48E0F05BCAC2}">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1962</Words>
  <Characters>11184</Characters>
  <Lines>93</Lines>
  <Paragraphs>26</Paragraphs>
  <TotalTime>929</TotalTime>
  <ScaleCrop>false</ScaleCrop>
  <LinksUpToDate>false</LinksUpToDate>
  <CharactersWithSpaces>13120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2019-05-05T02:18:00Z</dcterms:created>
  <dc:creator>Administrator</dc:creator>
  <cp:lastModifiedBy>zkj</cp:lastModifiedBy>
  <cp:lastPrinted>2019-11-20T07:31:00Z</cp:lastPrinted>
  <dcterms:modified xsi:type="dcterms:W3CDTF">2021-11-22T01:32:32Z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14D4D0C409D941C992A41C4329946566</vt:lpwstr>
  </property>
</Properties>
</file>